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1333" w14:textId="77777777" w:rsidR="00922BC4" w:rsidRDefault="00922BC4" w:rsidP="0076200A">
      <w:pPr>
        <w:spacing w:before="240" w:after="0" w:line="276" w:lineRule="auto"/>
      </w:pPr>
      <w:r>
        <w:rPr>
          <w:noProof/>
        </w:rPr>
        <mc:AlternateContent>
          <mc:Choice Requires="wps">
            <w:drawing>
              <wp:anchor distT="0" distB="0" distL="114300" distR="114300" simplePos="0" relativeHeight="251658240" behindDoc="0" locked="0" layoutInCell="1" allowOverlap="1" wp14:anchorId="36D3CFA8" wp14:editId="76D23F1D">
                <wp:simplePos x="0" y="0"/>
                <wp:positionH relativeFrom="column">
                  <wp:posOffset>-28575</wp:posOffset>
                </wp:positionH>
                <wp:positionV relativeFrom="paragraph">
                  <wp:posOffset>991235</wp:posOffset>
                </wp:positionV>
                <wp:extent cx="5610225" cy="0"/>
                <wp:effectExtent l="9525" t="10160" r="9525" b="8890"/>
                <wp:wrapNone/>
                <wp:docPr id="13818613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6284F" id="_x0000_t32" coordsize="21600,21600" o:spt="32" o:oned="t" path="m,l21600,21600e" filled="f">
                <v:path arrowok="t" fillok="f" o:connecttype="none"/>
                <o:lock v:ext="edit" shapetype="t"/>
              </v:shapetype>
              <v:shape id="Straight Arrow Connector 2" o:spid="_x0000_s1026" type="#_x0000_t32" style="position:absolute;margin-left:-2.25pt;margin-top:78.05pt;width:44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"/>
            </w:pict>
          </mc:Fallback>
        </mc:AlternateContent>
      </w:r>
      <w:r>
        <w:rPr>
          <w:noProof/>
        </w:rPr>
        <w:drawing>
          <wp:inline distT="0" distB="0" distL="0" distR="0" wp14:anchorId="7ACC28A1" wp14:editId="053F9450">
            <wp:extent cx="1257300" cy="708660"/>
            <wp:effectExtent l="0" t="0" r="0" b="0"/>
            <wp:docPr id="168683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08660"/>
                    </a:xfrm>
                    <a:prstGeom prst="rect">
                      <a:avLst/>
                    </a:prstGeom>
                    <a:noFill/>
                    <a:ln>
                      <a:noFill/>
                    </a:ln>
                  </pic:spPr>
                </pic:pic>
              </a:graphicData>
            </a:graphic>
          </wp:inline>
        </w:drawing>
      </w:r>
      <w:r w:rsidRPr="00146743">
        <w:rPr>
          <w:b/>
          <w:i/>
          <w:sz w:val="28"/>
          <w:szCs w:val="28"/>
        </w:rPr>
        <w:t xml:space="preserve"> </w:t>
      </w:r>
      <w:r>
        <w:rPr>
          <w:b/>
          <w:i/>
          <w:sz w:val="28"/>
          <w:szCs w:val="28"/>
        </w:rPr>
        <w:tab/>
      </w:r>
      <w:r>
        <w:rPr>
          <w:b/>
          <w:i/>
          <w:sz w:val="28"/>
          <w:szCs w:val="28"/>
        </w:rPr>
        <w:tab/>
      </w:r>
      <w:r w:rsidRPr="00D36162">
        <w:rPr>
          <w:b/>
          <w:i/>
          <w:sz w:val="28"/>
          <w:szCs w:val="28"/>
        </w:rPr>
        <w:t>Working together to make a real difference</w:t>
      </w:r>
    </w:p>
    <w:p w14:paraId="6F2D4598" w14:textId="77777777" w:rsidR="00922BC4" w:rsidRPr="005904EC" w:rsidRDefault="00922BC4" w:rsidP="0076200A">
      <w:pPr>
        <w:pStyle w:val="Header"/>
      </w:pPr>
    </w:p>
    <w:p w14:paraId="27E25910" w14:textId="77777777" w:rsidR="00C503D0" w:rsidRDefault="00C503D0" w:rsidP="000B18BE">
      <w:pPr>
        <w:pStyle w:val="Heading1"/>
      </w:pPr>
      <w:r>
        <w:t xml:space="preserve">Throughcare and Aftercare Financial Policy and Procedure </w:t>
      </w:r>
    </w:p>
    <w:p w14:paraId="317F782E" w14:textId="77777777" w:rsidR="00C503D0" w:rsidRPr="00922BC4" w:rsidRDefault="00C503D0" w:rsidP="000B18BE">
      <w:pPr>
        <w:pStyle w:val="EmphasisOIC"/>
        <w:rPr>
          <w:sz w:val="32"/>
          <w:szCs w:val="32"/>
        </w:rPr>
      </w:pPr>
      <w:r w:rsidRPr="00922BC4">
        <w:rPr>
          <w:sz w:val="32"/>
          <w:szCs w:val="32"/>
        </w:rPr>
        <w:t>Orkney Health and Care</w:t>
      </w:r>
    </w:p>
    <w:p w14:paraId="5ED3608B" w14:textId="5E39CFEE" w:rsidR="00C503D0" w:rsidRDefault="00C503D0" w:rsidP="00C503D0">
      <w:r>
        <w:t>This document sets out the framework of financial support that can be provided for young people entitled to throughcare and aftercare support. It details the allowances and grants that can be provided and the expectations about how financial support should be used. It also explains the circumstances in which any additional payments can be made.</w:t>
      </w:r>
      <w:r w:rsidR="00922BC4">
        <w:t xml:space="preserve"> </w:t>
      </w:r>
    </w:p>
    <w:p w14:paraId="40FE0B5E" w14:textId="77777777" w:rsidR="00B961C4" w:rsidRDefault="00B961C4" w:rsidP="00B961C4">
      <w:r>
        <w:t xml:space="preserve">The information set out here is the current and primary source of information about finances for young people who are entitled to this provision. </w:t>
      </w:r>
    </w:p>
    <w:p w14:paraId="635B73B4" w14:textId="77777777" w:rsidR="002048C2" w:rsidRDefault="00B961C4" w:rsidP="002048C2">
      <w:pPr>
        <w:pStyle w:val="TOCHeading"/>
        <w:spacing w:after="240"/>
        <w:rPr>
          <w:rFonts w:ascii="Arial" w:hAnsi="Arial" w:cs="Arial"/>
          <w:b/>
          <w:bCs/>
          <w:color w:val="auto"/>
        </w:rPr>
      </w:pPr>
      <w:r w:rsidRPr="02F9648D">
        <w:rPr>
          <w:rFonts w:ascii="Arial" w:hAnsi="Arial" w:cs="Arial"/>
          <w:b/>
          <w:bCs/>
          <w:color w:val="auto"/>
        </w:rPr>
        <w:t>Contents</w:t>
      </w:r>
    </w:p>
    <w:sdt>
      <w:sdtPr>
        <w:id w:val="848287146"/>
        <w:docPartObj>
          <w:docPartGallery w:val="Table of Contents"/>
          <w:docPartUnique/>
        </w:docPartObj>
      </w:sdtPr>
      <w:sdtEndPr>
        <w:rPr>
          <w:b/>
          <w:bCs/>
          <w:noProof/>
        </w:rPr>
      </w:sdtEndPr>
      <w:sdtContent>
        <w:p w14:paraId="354E5BCB" w14:textId="5B582055"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"2-2" \h \z \u </w:instrText>
          </w:r>
          <w:r>
            <w:fldChar w:fldCharType="separate"/>
          </w:r>
          <w:hyperlink w:anchor="_Toc208838992" w:history="1">
            <w:r w:rsidRPr="003D7704">
              <w:rPr>
                <w:rStyle w:val="Hyperlink"/>
                <w:noProof/>
              </w:rPr>
              <w:t>1. Introduction</w:t>
            </w:r>
            <w:r>
              <w:rPr>
                <w:noProof/>
                <w:webHidden/>
              </w:rPr>
              <w:tab/>
            </w:r>
            <w:r>
              <w:rPr>
                <w:noProof/>
                <w:webHidden/>
              </w:rPr>
              <w:fldChar w:fldCharType="begin"/>
            </w:r>
            <w:r>
              <w:rPr>
                <w:noProof/>
                <w:webHidden/>
              </w:rPr>
              <w:instrText xml:space="preserve"> PAGEREF _Toc208838992 \h </w:instrText>
            </w:r>
            <w:r>
              <w:rPr>
                <w:noProof/>
                <w:webHidden/>
              </w:rPr>
            </w:r>
            <w:r>
              <w:rPr>
                <w:noProof/>
                <w:webHidden/>
              </w:rPr>
              <w:fldChar w:fldCharType="separate"/>
            </w:r>
            <w:r>
              <w:rPr>
                <w:noProof/>
                <w:webHidden/>
              </w:rPr>
              <w:t>2</w:t>
            </w:r>
            <w:r>
              <w:rPr>
                <w:noProof/>
                <w:webHidden/>
              </w:rPr>
              <w:fldChar w:fldCharType="end"/>
            </w:r>
          </w:hyperlink>
        </w:p>
        <w:p w14:paraId="1A245410" w14:textId="6812FC4E"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3" w:history="1">
            <w:r w:rsidRPr="003D7704">
              <w:rPr>
                <w:rStyle w:val="Hyperlink"/>
                <w:noProof/>
              </w:rPr>
              <w:t>2. Our Values</w:t>
            </w:r>
            <w:r>
              <w:rPr>
                <w:noProof/>
                <w:webHidden/>
              </w:rPr>
              <w:tab/>
            </w:r>
            <w:r>
              <w:rPr>
                <w:noProof/>
                <w:webHidden/>
              </w:rPr>
              <w:fldChar w:fldCharType="begin"/>
            </w:r>
            <w:r>
              <w:rPr>
                <w:noProof/>
                <w:webHidden/>
              </w:rPr>
              <w:instrText xml:space="preserve"> PAGEREF _Toc208838993 \h </w:instrText>
            </w:r>
            <w:r>
              <w:rPr>
                <w:noProof/>
                <w:webHidden/>
              </w:rPr>
            </w:r>
            <w:r>
              <w:rPr>
                <w:noProof/>
                <w:webHidden/>
              </w:rPr>
              <w:fldChar w:fldCharType="separate"/>
            </w:r>
            <w:r>
              <w:rPr>
                <w:noProof/>
                <w:webHidden/>
              </w:rPr>
              <w:t>2</w:t>
            </w:r>
            <w:r>
              <w:rPr>
                <w:noProof/>
                <w:webHidden/>
              </w:rPr>
              <w:fldChar w:fldCharType="end"/>
            </w:r>
          </w:hyperlink>
        </w:p>
        <w:p w14:paraId="7EB9B111" w14:textId="5B3616ED"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4" w:history="1">
            <w:r w:rsidRPr="003D7704">
              <w:rPr>
                <w:rStyle w:val="Hyperlink"/>
                <w:noProof/>
              </w:rPr>
              <w:t>3. Principles for the provision of financial support</w:t>
            </w:r>
            <w:r>
              <w:rPr>
                <w:noProof/>
                <w:webHidden/>
              </w:rPr>
              <w:tab/>
            </w:r>
            <w:r>
              <w:rPr>
                <w:noProof/>
                <w:webHidden/>
              </w:rPr>
              <w:fldChar w:fldCharType="begin"/>
            </w:r>
            <w:r>
              <w:rPr>
                <w:noProof/>
                <w:webHidden/>
              </w:rPr>
              <w:instrText xml:space="preserve"> PAGEREF _Toc208838994 \h </w:instrText>
            </w:r>
            <w:r>
              <w:rPr>
                <w:noProof/>
                <w:webHidden/>
              </w:rPr>
            </w:r>
            <w:r>
              <w:rPr>
                <w:noProof/>
                <w:webHidden/>
              </w:rPr>
              <w:fldChar w:fldCharType="separate"/>
            </w:r>
            <w:r>
              <w:rPr>
                <w:noProof/>
                <w:webHidden/>
              </w:rPr>
              <w:t>4</w:t>
            </w:r>
            <w:r>
              <w:rPr>
                <w:noProof/>
                <w:webHidden/>
              </w:rPr>
              <w:fldChar w:fldCharType="end"/>
            </w:r>
          </w:hyperlink>
        </w:p>
        <w:p w14:paraId="34CACF6A" w14:textId="209348DC"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5" w:history="1">
            <w:r w:rsidRPr="003D7704">
              <w:rPr>
                <w:rStyle w:val="Hyperlink"/>
                <w:noProof/>
              </w:rPr>
              <w:t>4. Living costs for 16 and 17 year olds</w:t>
            </w:r>
            <w:r>
              <w:rPr>
                <w:noProof/>
                <w:webHidden/>
              </w:rPr>
              <w:tab/>
            </w:r>
            <w:r>
              <w:rPr>
                <w:noProof/>
                <w:webHidden/>
              </w:rPr>
              <w:fldChar w:fldCharType="begin"/>
            </w:r>
            <w:r>
              <w:rPr>
                <w:noProof/>
                <w:webHidden/>
              </w:rPr>
              <w:instrText xml:space="preserve"> PAGEREF _Toc208838995 \h </w:instrText>
            </w:r>
            <w:r>
              <w:rPr>
                <w:noProof/>
                <w:webHidden/>
              </w:rPr>
            </w:r>
            <w:r>
              <w:rPr>
                <w:noProof/>
                <w:webHidden/>
              </w:rPr>
              <w:fldChar w:fldCharType="separate"/>
            </w:r>
            <w:r>
              <w:rPr>
                <w:noProof/>
                <w:webHidden/>
              </w:rPr>
              <w:t>5</w:t>
            </w:r>
            <w:r>
              <w:rPr>
                <w:noProof/>
                <w:webHidden/>
              </w:rPr>
              <w:fldChar w:fldCharType="end"/>
            </w:r>
          </w:hyperlink>
        </w:p>
        <w:p w14:paraId="6383E142" w14:textId="4CE8DECF"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6" w:history="1">
            <w:r w:rsidRPr="003D7704">
              <w:rPr>
                <w:rStyle w:val="Hyperlink"/>
                <w:noProof/>
              </w:rPr>
              <w:t>5. Leaving Care Grant and Associated Housing Costs</w:t>
            </w:r>
            <w:r>
              <w:rPr>
                <w:noProof/>
                <w:webHidden/>
              </w:rPr>
              <w:tab/>
            </w:r>
            <w:r>
              <w:rPr>
                <w:noProof/>
                <w:webHidden/>
              </w:rPr>
              <w:fldChar w:fldCharType="begin"/>
            </w:r>
            <w:r>
              <w:rPr>
                <w:noProof/>
                <w:webHidden/>
              </w:rPr>
              <w:instrText xml:space="preserve"> PAGEREF _Toc208838996 \h </w:instrText>
            </w:r>
            <w:r>
              <w:rPr>
                <w:noProof/>
                <w:webHidden/>
              </w:rPr>
            </w:r>
            <w:r>
              <w:rPr>
                <w:noProof/>
                <w:webHidden/>
              </w:rPr>
              <w:fldChar w:fldCharType="separate"/>
            </w:r>
            <w:r>
              <w:rPr>
                <w:noProof/>
                <w:webHidden/>
              </w:rPr>
              <w:t>6</w:t>
            </w:r>
            <w:r>
              <w:rPr>
                <w:noProof/>
                <w:webHidden/>
              </w:rPr>
              <w:fldChar w:fldCharType="end"/>
            </w:r>
          </w:hyperlink>
        </w:p>
        <w:p w14:paraId="55659351" w14:textId="6DBDA356"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7" w:history="1">
            <w:r w:rsidRPr="003D7704">
              <w:rPr>
                <w:rStyle w:val="Hyperlink"/>
                <w:noProof/>
              </w:rPr>
              <w:t>6. Additional Grants and Allowances</w:t>
            </w:r>
            <w:r>
              <w:rPr>
                <w:noProof/>
                <w:webHidden/>
              </w:rPr>
              <w:tab/>
            </w:r>
            <w:r>
              <w:rPr>
                <w:noProof/>
                <w:webHidden/>
              </w:rPr>
              <w:fldChar w:fldCharType="begin"/>
            </w:r>
            <w:r>
              <w:rPr>
                <w:noProof/>
                <w:webHidden/>
              </w:rPr>
              <w:instrText xml:space="preserve"> PAGEREF _Toc208838997 \h </w:instrText>
            </w:r>
            <w:r>
              <w:rPr>
                <w:noProof/>
                <w:webHidden/>
              </w:rPr>
            </w:r>
            <w:r>
              <w:rPr>
                <w:noProof/>
                <w:webHidden/>
              </w:rPr>
              <w:fldChar w:fldCharType="separate"/>
            </w:r>
            <w:r>
              <w:rPr>
                <w:noProof/>
                <w:webHidden/>
              </w:rPr>
              <w:t>7</w:t>
            </w:r>
            <w:r>
              <w:rPr>
                <w:noProof/>
                <w:webHidden/>
              </w:rPr>
              <w:fldChar w:fldCharType="end"/>
            </w:r>
          </w:hyperlink>
        </w:p>
        <w:p w14:paraId="34D16B4F" w14:textId="12932340"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8" w:history="1">
            <w:r w:rsidRPr="003D7704">
              <w:rPr>
                <w:rStyle w:val="Hyperlink"/>
                <w:noProof/>
              </w:rPr>
              <w:t>7. Payment Procedure</w:t>
            </w:r>
            <w:r>
              <w:rPr>
                <w:noProof/>
                <w:webHidden/>
              </w:rPr>
              <w:tab/>
            </w:r>
            <w:r>
              <w:rPr>
                <w:noProof/>
                <w:webHidden/>
              </w:rPr>
              <w:fldChar w:fldCharType="begin"/>
            </w:r>
            <w:r>
              <w:rPr>
                <w:noProof/>
                <w:webHidden/>
              </w:rPr>
              <w:instrText xml:space="preserve"> PAGEREF _Toc208838998 \h </w:instrText>
            </w:r>
            <w:r>
              <w:rPr>
                <w:noProof/>
                <w:webHidden/>
              </w:rPr>
            </w:r>
            <w:r>
              <w:rPr>
                <w:noProof/>
                <w:webHidden/>
              </w:rPr>
              <w:fldChar w:fldCharType="separate"/>
            </w:r>
            <w:r>
              <w:rPr>
                <w:noProof/>
                <w:webHidden/>
              </w:rPr>
              <w:t>14</w:t>
            </w:r>
            <w:r>
              <w:rPr>
                <w:noProof/>
                <w:webHidden/>
              </w:rPr>
              <w:fldChar w:fldCharType="end"/>
            </w:r>
          </w:hyperlink>
        </w:p>
        <w:p w14:paraId="610E8A37" w14:textId="17C2C9E8"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8999" w:history="1">
            <w:r w:rsidRPr="003D7704">
              <w:rPr>
                <w:rStyle w:val="Hyperlink"/>
                <w:noProof/>
              </w:rPr>
              <w:t>8. Right to Make Representations and Complaints</w:t>
            </w:r>
            <w:r>
              <w:rPr>
                <w:noProof/>
                <w:webHidden/>
              </w:rPr>
              <w:tab/>
            </w:r>
            <w:r>
              <w:rPr>
                <w:noProof/>
                <w:webHidden/>
              </w:rPr>
              <w:fldChar w:fldCharType="begin"/>
            </w:r>
            <w:r>
              <w:rPr>
                <w:noProof/>
                <w:webHidden/>
              </w:rPr>
              <w:instrText xml:space="preserve"> PAGEREF _Toc208838999 \h </w:instrText>
            </w:r>
            <w:r>
              <w:rPr>
                <w:noProof/>
                <w:webHidden/>
              </w:rPr>
            </w:r>
            <w:r>
              <w:rPr>
                <w:noProof/>
                <w:webHidden/>
              </w:rPr>
              <w:fldChar w:fldCharType="separate"/>
            </w:r>
            <w:r>
              <w:rPr>
                <w:noProof/>
                <w:webHidden/>
              </w:rPr>
              <w:t>15</w:t>
            </w:r>
            <w:r>
              <w:rPr>
                <w:noProof/>
                <w:webHidden/>
              </w:rPr>
              <w:fldChar w:fldCharType="end"/>
            </w:r>
          </w:hyperlink>
        </w:p>
        <w:p w14:paraId="05D95BFE" w14:textId="73449D35"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9000" w:history="1">
            <w:r w:rsidRPr="003D7704">
              <w:rPr>
                <w:rStyle w:val="Hyperlink"/>
                <w:noProof/>
              </w:rPr>
              <w:t>9. Version History</w:t>
            </w:r>
            <w:r>
              <w:rPr>
                <w:noProof/>
                <w:webHidden/>
              </w:rPr>
              <w:tab/>
            </w:r>
            <w:r>
              <w:rPr>
                <w:noProof/>
                <w:webHidden/>
              </w:rPr>
              <w:fldChar w:fldCharType="begin"/>
            </w:r>
            <w:r>
              <w:rPr>
                <w:noProof/>
                <w:webHidden/>
              </w:rPr>
              <w:instrText xml:space="preserve"> PAGEREF _Toc208839000 \h </w:instrText>
            </w:r>
            <w:r>
              <w:rPr>
                <w:noProof/>
                <w:webHidden/>
              </w:rPr>
            </w:r>
            <w:r>
              <w:rPr>
                <w:noProof/>
                <w:webHidden/>
              </w:rPr>
              <w:fldChar w:fldCharType="separate"/>
            </w:r>
            <w:r>
              <w:rPr>
                <w:noProof/>
                <w:webHidden/>
              </w:rPr>
              <w:t>15</w:t>
            </w:r>
            <w:r>
              <w:rPr>
                <w:noProof/>
                <w:webHidden/>
              </w:rPr>
              <w:fldChar w:fldCharType="end"/>
            </w:r>
          </w:hyperlink>
        </w:p>
        <w:p w14:paraId="7EAAC3FC" w14:textId="585996E9"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9001" w:history="1">
            <w:r w:rsidRPr="003D7704">
              <w:rPr>
                <w:rStyle w:val="Hyperlink"/>
                <w:noProof/>
              </w:rPr>
              <w:t>Appendix 1: The Legal Context</w:t>
            </w:r>
            <w:r>
              <w:rPr>
                <w:noProof/>
                <w:webHidden/>
              </w:rPr>
              <w:tab/>
            </w:r>
            <w:r>
              <w:rPr>
                <w:noProof/>
                <w:webHidden/>
              </w:rPr>
              <w:fldChar w:fldCharType="begin"/>
            </w:r>
            <w:r>
              <w:rPr>
                <w:noProof/>
                <w:webHidden/>
              </w:rPr>
              <w:instrText xml:space="preserve"> PAGEREF _Toc208839001 \h </w:instrText>
            </w:r>
            <w:r>
              <w:rPr>
                <w:noProof/>
                <w:webHidden/>
              </w:rPr>
            </w:r>
            <w:r>
              <w:rPr>
                <w:noProof/>
                <w:webHidden/>
              </w:rPr>
              <w:fldChar w:fldCharType="separate"/>
            </w:r>
            <w:r>
              <w:rPr>
                <w:noProof/>
                <w:webHidden/>
              </w:rPr>
              <w:t>17</w:t>
            </w:r>
            <w:r>
              <w:rPr>
                <w:noProof/>
                <w:webHidden/>
              </w:rPr>
              <w:fldChar w:fldCharType="end"/>
            </w:r>
          </w:hyperlink>
        </w:p>
        <w:p w14:paraId="782D9AE5" w14:textId="7E19870D"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9002" w:history="1">
            <w:r w:rsidRPr="003D7704">
              <w:rPr>
                <w:rStyle w:val="Hyperlink"/>
                <w:noProof/>
              </w:rPr>
              <w:t>Appendix 2: The Policy Context</w:t>
            </w:r>
            <w:r>
              <w:rPr>
                <w:noProof/>
                <w:webHidden/>
              </w:rPr>
              <w:tab/>
            </w:r>
            <w:r>
              <w:rPr>
                <w:noProof/>
                <w:webHidden/>
              </w:rPr>
              <w:fldChar w:fldCharType="begin"/>
            </w:r>
            <w:r>
              <w:rPr>
                <w:noProof/>
                <w:webHidden/>
              </w:rPr>
              <w:instrText xml:space="preserve"> PAGEREF _Toc208839002 \h </w:instrText>
            </w:r>
            <w:r>
              <w:rPr>
                <w:noProof/>
                <w:webHidden/>
              </w:rPr>
            </w:r>
            <w:r>
              <w:rPr>
                <w:noProof/>
                <w:webHidden/>
              </w:rPr>
              <w:fldChar w:fldCharType="separate"/>
            </w:r>
            <w:r>
              <w:rPr>
                <w:noProof/>
                <w:webHidden/>
              </w:rPr>
              <w:t>19</w:t>
            </w:r>
            <w:r>
              <w:rPr>
                <w:noProof/>
                <w:webHidden/>
              </w:rPr>
              <w:fldChar w:fldCharType="end"/>
            </w:r>
          </w:hyperlink>
        </w:p>
        <w:p w14:paraId="089C493E" w14:textId="3CB5EE08" w:rsidR="002048C2" w:rsidRDefault="002048C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08839003" w:history="1">
            <w:r w:rsidRPr="003D7704">
              <w:rPr>
                <w:rStyle w:val="Hyperlink"/>
                <w:noProof/>
              </w:rPr>
              <w:t>Appendix 3: Operational Documents</w:t>
            </w:r>
            <w:r>
              <w:rPr>
                <w:noProof/>
                <w:webHidden/>
              </w:rPr>
              <w:tab/>
            </w:r>
            <w:r>
              <w:rPr>
                <w:noProof/>
                <w:webHidden/>
              </w:rPr>
              <w:fldChar w:fldCharType="begin"/>
            </w:r>
            <w:r>
              <w:rPr>
                <w:noProof/>
                <w:webHidden/>
              </w:rPr>
              <w:instrText xml:space="preserve"> PAGEREF _Toc208839003 \h </w:instrText>
            </w:r>
            <w:r>
              <w:rPr>
                <w:noProof/>
                <w:webHidden/>
              </w:rPr>
            </w:r>
            <w:r>
              <w:rPr>
                <w:noProof/>
                <w:webHidden/>
              </w:rPr>
              <w:fldChar w:fldCharType="separate"/>
            </w:r>
            <w:r>
              <w:rPr>
                <w:noProof/>
                <w:webHidden/>
              </w:rPr>
              <w:t>21</w:t>
            </w:r>
            <w:r>
              <w:rPr>
                <w:noProof/>
                <w:webHidden/>
              </w:rPr>
              <w:fldChar w:fldCharType="end"/>
            </w:r>
          </w:hyperlink>
        </w:p>
        <w:p w14:paraId="192D461A" w14:textId="6EB28159" w:rsidR="002048C2" w:rsidRPr="002048C2" w:rsidRDefault="002048C2">
          <w:pPr>
            <w:rPr>
              <w:b/>
              <w:bCs/>
              <w:noProof/>
            </w:rPr>
          </w:pPr>
          <w:r>
            <w:rPr>
              <w:b/>
              <w:bCs/>
              <w:noProof/>
            </w:rPr>
            <w:fldChar w:fldCharType="end"/>
          </w:r>
        </w:p>
      </w:sdtContent>
    </w:sdt>
    <w:p w14:paraId="68BCA296" w14:textId="37B2D9D4" w:rsidR="43BB2485" w:rsidRPr="002048C2" w:rsidRDefault="43BB2485" w:rsidP="002048C2">
      <w:pPr>
        <w:pStyle w:val="TOCHeading"/>
        <w:spacing w:after="240"/>
        <w:rPr>
          <w:rFonts w:ascii="Arial" w:hAnsi="Arial" w:cs="Arial"/>
          <w:b/>
          <w:bCs/>
          <w:color w:val="auto"/>
        </w:rPr>
      </w:pPr>
      <w:r w:rsidRPr="02F9648D">
        <w:fldChar w:fldCharType="begin"/>
      </w:r>
      <w:r>
        <w:instrText xml:space="preserve"> TOC \o "2-3" \h \z \u </w:instrText>
      </w:r>
      <w:r w:rsidRPr="02F9648D">
        <w:fldChar w:fldCharType="separate"/>
      </w:r>
      <w:r w:rsidRPr="02F9648D">
        <w:rPr>
          <w:b/>
          <w:bCs/>
          <w:noProof/>
        </w:rPr>
        <w:fldChar w:fldCharType="end"/>
      </w:r>
    </w:p>
    <w:p w14:paraId="16FCFF27" w14:textId="77777777" w:rsidR="00CD4E57" w:rsidRDefault="00CD4E57">
      <w:pPr>
        <w:suppressAutoHyphens w:val="0"/>
        <w:rPr>
          <w:rFonts w:eastAsia="Times New Roman"/>
          <w:b/>
          <w:bCs/>
          <w:color w:val="000000"/>
          <w:sz w:val="32"/>
          <w:szCs w:val="26"/>
        </w:rPr>
      </w:pPr>
      <w:r>
        <w:br w:type="page"/>
      </w:r>
    </w:p>
    <w:p w14:paraId="2A2F63CF" w14:textId="35303F66" w:rsidR="000B18BE" w:rsidRDefault="4BC02853" w:rsidP="00377A69">
      <w:pPr>
        <w:pStyle w:val="Heading2"/>
      </w:pPr>
      <w:bookmarkStart w:id="0" w:name="_Toc208838833"/>
      <w:bookmarkStart w:id="1" w:name="_Toc208838992"/>
      <w:r>
        <w:lastRenderedPageBreak/>
        <w:t>1. Introduction</w:t>
      </w:r>
      <w:bookmarkEnd w:id="0"/>
      <w:bookmarkEnd w:id="1"/>
    </w:p>
    <w:p w14:paraId="7714BC2F" w14:textId="7501E647" w:rsidR="000B18BE" w:rsidRDefault="000B18BE" w:rsidP="000B18BE">
      <w:r>
        <w:t>1.1. The purpose of this policy is to set out the framework for the provision of financial support for young people who are moving on from the care of Orkney Islands Council.</w:t>
      </w:r>
    </w:p>
    <w:p w14:paraId="71845BEB" w14:textId="64EC2375" w:rsidR="000B18BE" w:rsidRDefault="000B18BE" w:rsidP="000B18BE">
      <w:r>
        <w:t>1.2. The legal context derives from the Children (Scotland) Act 1995 (with subsequent amendments). Local authorities have a legal duty to:</w:t>
      </w:r>
    </w:p>
    <w:p w14:paraId="7DC74885" w14:textId="6CD3CB77" w:rsidR="000B18BE" w:rsidRPr="00922BC4" w:rsidRDefault="000B18BE" w:rsidP="00922BC4">
      <w:pPr>
        <w:pStyle w:val="ListParagraph"/>
        <w:ind w:left="426" w:hanging="426"/>
      </w:pPr>
      <w:r w:rsidRPr="00922BC4">
        <w:t>Prepare young people for leaving care or ceasing to be looked after; and</w:t>
      </w:r>
    </w:p>
    <w:p w14:paraId="613603C9" w14:textId="4CD8FAEA" w:rsidR="000B18BE" w:rsidRPr="00922BC4" w:rsidRDefault="000B18BE" w:rsidP="00922BC4">
      <w:pPr>
        <w:pStyle w:val="ListParagraph"/>
        <w:spacing w:after="240"/>
        <w:ind w:left="425" w:hanging="425"/>
      </w:pPr>
      <w:r w:rsidRPr="00922BC4">
        <w:t>Provide advice and assistance to young people who have ceased to be looked after on or after their 16th birthday. Local authorities are legally required to provide aftercare support until the young person leaving care becomes 19, and to assess any eligible needs for aftercare support until they turn 26 (or beyond in some cases).</w:t>
      </w:r>
    </w:p>
    <w:p w14:paraId="703C1E64" w14:textId="77777777" w:rsidR="000B18BE" w:rsidRDefault="000B18BE" w:rsidP="000B18BE">
      <w:r>
        <w:t>A more detailed overview of the legal context is set out in Appendix 1.</w:t>
      </w:r>
    </w:p>
    <w:p w14:paraId="4D66E381" w14:textId="52192E79" w:rsidR="000B18BE" w:rsidRDefault="000B18BE" w:rsidP="000B18BE">
      <w:r>
        <w:t xml:space="preserve">1.3. Support for young people who have been Looked After should be holistic and financial provision represents only one aspect of this. The Social Work Service provides dedicated support for care experienced young people to ensure that practical help, advice and guidance, social and emotional support are available when needed. </w:t>
      </w:r>
    </w:p>
    <w:p w14:paraId="7F32AB65" w14:textId="77B15E3E" w:rsidR="000B18BE" w:rsidRDefault="000B18BE" w:rsidP="000B18BE">
      <w:r>
        <w:t>1.4</w:t>
      </w:r>
      <w:r w:rsidR="00377A69">
        <w:t>.</w:t>
      </w:r>
      <w:r>
        <w:t xml:space="preserve"> Many young people who have been Looked After Away from Home have the right to ‘stay put’ in their current care setting until they turn 21</w:t>
      </w:r>
      <w:r w:rsidR="00C54B1D">
        <w:t>;</w:t>
      </w:r>
      <w:r w:rsidR="007147A1">
        <w:t xml:space="preserve"> there are </w:t>
      </w:r>
      <w:r>
        <w:t>some exceptions set out in Appendix 1. This is known as ‘Continuing Care</w:t>
      </w:r>
      <w:proofErr w:type="gramStart"/>
      <w:r>
        <w:t>’</w:t>
      </w:r>
      <w:proofErr w:type="gramEnd"/>
      <w:r>
        <w:t xml:space="preserve"> and it eases the transition into adult life. Young people are encouraged to take advantage of this right and to ‘stay put’ for as long as they need. They may apply for the financial support set out below at the point of moving on to independent living. </w:t>
      </w:r>
    </w:p>
    <w:p w14:paraId="55E6323C" w14:textId="2BC5A94B" w:rsidR="000B18BE" w:rsidRDefault="000B18BE" w:rsidP="000B18BE">
      <w:r>
        <w:t>1.5</w:t>
      </w:r>
      <w:r w:rsidR="00377A69">
        <w:t>.</w:t>
      </w:r>
      <w:r>
        <w:t xml:space="preserve"> This policy applies to young people for whom Orkney is the ‘Responsible Local Authority’. The Responsible Local Authority is the authority that is currently looking after, or last looked after, the young person, regardless of where they now live. Orkney is not the Responsible Local Authority for care experienced young people who have moved to the area from the care of other Local Authorities. With that said, in some aftercare situations, whereby, a young adult has relocated to Orkney, when for example due to proximity from Responsible Authority hindering their ability to provide the required support, Orkney would agree to provide</w:t>
      </w:r>
      <w:r w:rsidR="000C527A">
        <w:t xml:space="preserve"> intermediatory</w:t>
      </w:r>
      <w:r>
        <w:t xml:space="preserve"> support to care experienced children and young people, adults who reside in Orkney. These decisions would be informed by discussions between both Local Authorities and considering ordinary residence protocols, before any decisions regarding responsibilities agreed. Legal advice may be required in these instances.</w:t>
      </w:r>
      <w:r w:rsidR="00922BC4">
        <w:t xml:space="preserve"> </w:t>
      </w:r>
      <w:r w:rsidR="00FC2C90">
        <w:t xml:space="preserve">Any Financial commitments would not transfer to Orkney </w:t>
      </w:r>
      <w:proofErr w:type="gramStart"/>
      <w:r w:rsidR="00FC2C90">
        <w:t>as a result o</w:t>
      </w:r>
      <w:r w:rsidR="000C527A">
        <w:t>f</w:t>
      </w:r>
      <w:proofErr w:type="gramEnd"/>
      <w:r w:rsidR="00FC2C90">
        <w:t xml:space="preserve"> these discussions</w:t>
      </w:r>
      <w:r w:rsidR="000C527A">
        <w:t xml:space="preserve"> and would be retained by the Responsible Authority</w:t>
      </w:r>
      <w:r w:rsidR="00FC2C90">
        <w:t xml:space="preserve">. </w:t>
      </w:r>
    </w:p>
    <w:p w14:paraId="7B21FB0A" w14:textId="338D7698" w:rsidR="000B18BE" w:rsidRDefault="4BC02853" w:rsidP="00377A69">
      <w:pPr>
        <w:pStyle w:val="Heading2"/>
      </w:pPr>
      <w:bookmarkStart w:id="2" w:name="_Toc208838834"/>
      <w:bookmarkStart w:id="3" w:name="_Toc208838993"/>
      <w:r>
        <w:t>2</w:t>
      </w:r>
      <w:r w:rsidR="461FAD12">
        <w:t xml:space="preserve">. </w:t>
      </w:r>
      <w:r>
        <w:t>Our Values</w:t>
      </w:r>
      <w:bookmarkEnd w:id="2"/>
      <w:bookmarkEnd w:id="3"/>
    </w:p>
    <w:p w14:paraId="61A8A744" w14:textId="357378EF" w:rsidR="000B18BE" w:rsidRDefault="000B18BE" w:rsidP="000B18BE">
      <w:r>
        <w:t>2.1</w:t>
      </w:r>
      <w:r w:rsidR="00377A69">
        <w:t>.</w:t>
      </w:r>
      <w:r>
        <w:t xml:space="preserve"> Orkney Islands Council acknowledges ‘These are our Bairns’, Scottish Government good practice guidance 2008</w:t>
      </w:r>
      <w:r w:rsidR="000C527A">
        <w:t xml:space="preserve">. </w:t>
      </w:r>
      <w:r>
        <w:t xml:space="preserve">Legislation in 2014 embedded this good practice in law and gave the Council and Community Planning Partners statutory </w:t>
      </w:r>
      <w:r>
        <w:lastRenderedPageBreak/>
        <w:t>duties as corporate parents. Whilst this remains the legal terminology it has become clear that young people dislike the expression and there is a shift towards using the language of good parents. One aspect of good parenting is the provision of continuing support for care experienced young people making the transition to adult life. As ‘Good Parents’ the Council:</w:t>
      </w:r>
    </w:p>
    <w:p w14:paraId="1E25C6A1" w14:textId="273587F8" w:rsidR="000B18BE" w:rsidRDefault="000B18BE" w:rsidP="007147A1">
      <w:pPr>
        <w:pStyle w:val="ListParagraph"/>
        <w:ind w:left="426" w:hanging="426"/>
      </w:pPr>
      <w:r>
        <w:t>Accepts responsibility for Looked After Children and Young People</w:t>
      </w:r>
      <w:r w:rsidR="007147A1">
        <w:t>.</w:t>
      </w:r>
    </w:p>
    <w:p w14:paraId="2A41C9AF" w14:textId="7CFB4B61" w:rsidR="000B18BE" w:rsidRDefault="000B18BE" w:rsidP="007147A1">
      <w:pPr>
        <w:pStyle w:val="ListParagraph"/>
        <w:ind w:left="426" w:hanging="426"/>
      </w:pPr>
      <w:r>
        <w:t>Will make their needs a priority</w:t>
      </w:r>
      <w:r w:rsidR="007147A1">
        <w:t>.</w:t>
      </w:r>
    </w:p>
    <w:p w14:paraId="38E30515" w14:textId="62D1A76E" w:rsidR="000B18BE" w:rsidRDefault="000B18BE" w:rsidP="007147A1">
      <w:pPr>
        <w:pStyle w:val="ListParagraph"/>
        <w:spacing w:after="240"/>
        <w:ind w:left="425" w:hanging="425"/>
      </w:pPr>
      <w:r>
        <w:t>Seeks for them the same outcomes any good parent would want for their own children.</w:t>
      </w:r>
    </w:p>
    <w:p w14:paraId="4F48424F" w14:textId="1AD06FCB" w:rsidR="000B18BE" w:rsidRDefault="000B18BE" w:rsidP="000B18BE">
      <w:r>
        <w:t>2.2</w:t>
      </w:r>
      <w:r w:rsidR="00AB2AF8">
        <w:t>.</w:t>
      </w:r>
      <w:r>
        <w:t xml:space="preserve"> Orkney’s Good Parenting Plan 2020-2025 reaffirms the commitment ‘to ensure that our Care Experienced Children and Young People have the best possible start in life. We will support and care for them as our own, and ensure they have every opportunity to reach their full potential and succeed in life’. The Plan states that ‘In Orkney, we will challenge each other to be ‘good parents’ and continually ask: </w:t>
      </w:r>
    </w:p>
    <w:p w14:paraId="2224B16F" w14:textId="6A274E96" w:rsidR="000B18BE" w:rsidRDefault="000B18BE" w:rsidP="007147A1">
      <w:pPr>
        <w:pStyle w:val="ListParagraph"/>
        <w:ind w:left="426" w:hanging="426"/>
      </w:pPr>
      <w:r>
        <w:t>‘What would a good parent do?’</w:t>
      </w:r>
      <w:r w:rsidR="00483993">
        <w:t>.</w:t>
      </w:r>
      <w:r>
        <w:t xml:space="preserve"> </w:t>
      </w:r>
    </w:p>
    <w:p w14:paraId="74B7B5E7" w14:textId="00FEBE57" w:rsidR="000B18BE" w:rsidRDefault="000B18BE" w:rsidP="007147A1">
      <w:pPr>
        <w:pStyle w:val="ListParagraph"/>
        <w:ind w:left="426" w:hanging="426"/>
      </w:pPr>
      <w:r>
        <w:t>‘What would a good parent aspire to for their child?’</w:t>
      </w:r>
      <w:r w:rsidR="00483993">
        <w:t>.</w:t>
      </w:r>
    </w:p>
    <w:p w14:paraId="5D4B3306" w14:textId="47D8CE05" w:rsidR="000B18BE" w:rsidRDefault="000B18BE" w:rsidP="007147A1">
      <w:pPr>
        <w:pStyle w:val="ListParagraph"/>
        <w:spacing w:after="240"/>
        <w:ind w:left="425" w:hanging="425"/>
      </w:pPr>
      <w:r>
        <w:t>‘How will we behave as good parents and be responsible to young people?’ (see Appendix 2)</w:t>
      </w:r>
      <w:r w:rsidR="00483993">
        <w:t>.</w:t>
      </w:r>
    </w:p>
    <w:p w14:paraId="28F1552F" w14:textId="183CA39A" w:rsidR="000B18BE" w:rsidRDefault="000B18BE" w:rsidP="000B18BE">
      <w:r>
        <w:t>2.3</w:t>
      </w:r>
      <w:r w:rsidR="00AB2AF8">
        <w:t>.</w:t>
      </w:r>
      <w:r>
        <w:t xml:space="preserve"> Provision for care experienced young people is based on the understanding of wellbeing needs set out in the national childcare improvement framework Getting It Right for Every Child (GIRFEC). The framework embeds the articles of the United Nations Convention on the Rights of the Child (UNCRC) into practice and promotes a rights-based approach. Scotland is the first country in the UK to directly incorporate the United Nations Convention on the Rights of the Child (UNCRC) into domestic law. The United Nations Convention on the Rights of the Child (Incorporation) (Scotland) Act was passed by the Scottish Parliament on 16 March 2021, it was later amended and received Royal Assent on the 16 June 2024, with the provisions coming into force on </w:t>
      </w:r>
      <w:r w:rsidR="00F419E8">
        <w:t xml:space="preserve">16 </w:t>
      </w:r>
      <w:r>
        <w:t>July</w:t>
      </w:r>
      <w:r w:rsidR="00F419E8">
        <w:t xml:space="preserve"> </w:t>
      </w:r>
      <w:r>
        <w:t>2024.</w:t>
      </w:r>
      <w:r w:rsidR="00922BC4">
        <w:t xml:space="preserve"> </w:t>
      </w:r>
      <w:r>
        <w:t>GIRFEC identifies that young people in Scotland should be ‘safe, healthy, achieving, nurtured, active, responsible, respected and included’.</w:t>
      </w:r>
    </w:p>
    <w:p w14:paraId="4D5DA40C" w14:textId="632FD8AC" w:rsidR="000B18BE" w:rsidRDefault="000B18BE" w:rsidP="000B18BE">
      <w:r>
        <w:t>2.4</w:t>
      </w:r>
      <w:r w:rsidR="00AB2AF8">
        <w:t>.</w:t>
      </w:r>
      <w:r>
        <w:t xml:space="preserve"> The Scottish Care Leavers Covenant also informs the approach set out in Orkney’s Good Parenting Plan. One of the guiding principles is ‘assumption of entitlement’ i.e. that Corporate Parents will assume all young people leaving care are entitled to services, support, and opportunities, up to their 26th birthday.</w:t>
      </w:r>
      <w:r w:rsidR="00922BC4">
        <w:t xml:space="preserve"> </w:t>
      </w:r>
      <w:r>
        <w:t>In Orkney there is also the commitment to extend this past their 26th birthday where advice and guidance may be required.</w:t>
      </w:r>
      <w:r w:rsidR="00922BC4">
        <w:t xml:space="preserve"> </w:t>
      </w:r>
      <w:r>
        <w:t>Where discretion exists in definitions of vulnerability, or in giving priority access, these will be in favour of young people leaving care (See Appendix 2).</w:t>
      </w:r>
    </w:p>
    <w:p w14:paraId="1C6B2E23" w14:textId="0E7ED4DC" w:rsidR="000B18BE" w:rsidRDefault="000B18BE" w:rsidP="000B18BE">
      <w:r>
        <w:t>2.5</w:t>
      </w:r>
      <w:r w:rsidR="00AB2AF8">
        <w:t>.</w:t>
      </w:r>
      <w:r>
        <w:t xml:space="preserve"> The Independent Care Review reported in 2020. It provides ‘The Promise’ and ‘The Plan’ for young people in Scotland who </w:t>
      </w:r>
      <w:proofErr w:type="gramStart"/>
      <w:r>
        <w:t>are care</w:t>
      </w:r>
      <w:proofErr w:type="gramEnd"/>
      <w:r>
        <w:t xml:space="preserve"> experienced</w:t>
      </w:r>
      <w:r w:rsidR="00FD5A4D">
        <w:t xml:space="preserve">, </w:t>
      </w:r>
      <w:r>
        <w:t>see Appendix 2. The key ambition is for Scotland ‘to be the best place in the world to grow up so that children are ‘loved, safe, and respected and realise their full potential’ (The Promise 2020</w:t>
      </w:r>
      <w:r w:rsidR="00FD5A4D">
        <w:t>,</w:t>
      </w:r>
      <w:r>
        <w:t xml:space="preserve"> p</w:t>
      </w:r>
      <w:r w:rsidR="00FD5A4D">
        <w:t xml:space="preserve">age </w:t>
      </w:r>
      <w:r>
        <w:t>4).</w:t>
      </w:r>
    </w:p>
    <w:p w14:paraId="56D5BD05" w14:textId="55C8AC17" w:rsidR="000B18BE" w:rsidRDefault="000B18BE" w:rsidP="000B18BE">
      <w:r>
        <w:lastRenderedPageBreak/>
        <w:t>‘The Promise’ reminds us that ‘Parenting does not stop at 18. Throughout the Plan, Scotland must continue to consider how to create greater equity and opportunity for care experienced young adults. That consideration must include how to increase opportunity for care experienced young people to access employment, training, stable housing and support’ (The Promise 2020</w:t>
      </w:r>
      <w:r w:rsidR="00FD5A4D">
        <w:t>,</w:t>
      </w:r>
      <w:r>
        <w:t xml:space="preserve"> p</w:t>
      </w:r>
      <w:r w:rsidR="00FD5A4D">
        <w:t xml:space="preserve">age </w:t>
      </w:r>
      <w:r>
        <w:t>94). </w:t>
      </w:r>
    </w:p>
    <w:p w14:paraId="60C14D85" w14:textId="1678A37B" w:rsidR="000B18BE" w:rsidRDefault="4BC02853" w:rsidP="00F419E8">
      <w:pPr>
        <w:pStyle w:val="Heading2"/>
      </w:pPr>
      <w:bookmarkStart w:id="4" w:name="_Toc208838835"/>
      <w:bookmarkStart w:id="5" w:name="_Toc208838994"/>
      <w:r>
        <w:t>3</w:t>
      </w:r>
      <w:r w:rsidR="02722425">
        <w:t xml:space="preserve">. </w:t>
      </w:r>
      <w:r>
        <w:t>Principles for the provision of financial support</w:t>
      </w:r>
      <w:bookmarkEnd w:id="4"/>
      <w:bookmarkEnd w:id="5"/>
    </w:p>
    <w:p w14:paraId="72C7C5F3" w14:textId="1753AA98" w:rsidR="000B18BE" w:rsidRDefault="000B18BE" w:rsidP="000B18BE">
      <w:r>
        <w:t>3.1</w:t>
      </w:r>
      <w:r w:rsidR="001C4367">
        <w:t>.</w:t>
      </w:r>
      <w:r>
        <w:t xml:space="preserve"> The welfare of the young person is the paramount consideration in every decision.</w:t>
      </w:r>
    </w:p>
    <w:p w14:paraId="7501E4EC" w14:textId="7FC44A54" w:rsidR="000B18BE" w:rsidRDefault="000B18BE" w:rsidP="000B18BE">
      <w:r>
        <w:t>3.2</w:t>
      </w:r>
      <w:r w:rsidR="001C4367">
        <w:t>.</w:t>
      </w:r>
      <w:r>
        <w:t xml:space="preserve"> The views of the young person should be ascertained and considered in respect of every significant decision about them.</w:t>
      </w:r>
    </w:p>
    <w:p w14:paraId="64B8366E" w14:textId="286472CD" w:rsidR="000B18BE" w:rsidRDefault="000B18BE" w:rsidP="000B18BE">
      <w:r>
        <w:t>3.3</w:t>
      </w:r>
      <w:r w:rsidR="001C4367">
        <w:t>.</w:t>
      </w:r>
      <w:r>
        <w:t xml:space="preserve"> It is essential to recognise the diversity of the needs of young people and to respond with sensitivity, care and compassion. </w:t>
      </w:r>
    </w:p>
    <w:p w14:paraId="0A0D0E2E" w14:textId="3094E6BC" w:rsidR="000B18BE" w:rsidRDefault="000B18BE" w:rsidP="000B18BE">
      <w:r>
        <w:t>3.4</w:t>
      </w:r>
      <w:r w:rsidR="001C4367">
        <w:t>.</w:t>
      </w:r>
      <w:r>
        <w:t xml:space="preserve"> As good parents the Council should ensure young people have adequate resources to support them as they move towards a life of independence, self-reliance, and stability. The Council does not have unlimited resources but will always give fair and reasonable consideration to any requests for assistance which are made as all good parents do. </w:t>
      </w:r>
    </w:p>
    <w:p w14:paraId="31E5A39F" w14:textId="74F68DA7" w:rsidR="000B18BE" w:rsidRDefault="000B18BE" w:rsidP="000B18BE">
      <w:r>
        <w:t>3.5</w:t>
      </w:r>
      <w:r w:rsidR="001C4367">
        <w:t>.</w:t>
      </w:r>
      <w:r>
        <w:t xml:space="preserve"> The Council can provide financial support when there are no other benefits, bursaries, grants, sponsorship, or sources of funding available. The Throughcare and Aftercare Social Worker can provide advice and information about these sources of funding and help with any application process required. Other agencies also have corporate parenting responsibilities and can provide additional support and advice for care experienced young people. Section 17 of the 1995 Act (The Children (Scotland) Act) spells out the statutory responsibilities of Local Authorities to looked after children/care experienced children and young people. The Children and Young People Act 2014 Part 9 has defined “corporate parenting” and the responsibilities of different corporate bodies to work together to assess and meet the well-being needs of looked after children. Schedule 4 of the Act lists all the bodies that may play a part. Orkney’s Good Parenting Plan will outline the individual and collective responsibilities of Corporate Parents/Good Parents in Orkney, encompassing health, education, police, housing, mental health services, social work and any other professional/ service who work with care experienced children and young people on a statutory basis.</w:t>
      </w:r>
    </w:p>
    <w:p w14:paraId="51C2EB58" w14:textId="398E972D" w:rsidR="000B18BE" w:rsidRDefault="000B18BE" w:rsidP="000B18BE">
      <w:r>
        <w:t>3.6</w:t>
      </w:r>
      <w:r w:rsidR="001C4367">
        <w:t>.</w:t>
      </w:r>
      <w:r>
        <w:t xml:space="preserve"> Young people are strongly discouraged from entering into credit agreements or taking loans which should not be recommended or required. </w:t>
      </w:r>
    </w:p>
    <w:p w14:paraId="3DCB6DFA" w14:textId="2E4A6EC4" w:rsidR="000B18BE" w:rsidRDefault="000B18BE" w:rsidP="000B18BE">
      <w:r>
        <w:t>3.7</w:t>
      </w:r>
      <w:r w:rsidR="001C4367">
        <w:t>.</w:t>
      </w:r>
      <w:r>
        <w:t xml:space="preserve"> To promote independence, dignity and normalisation of experience, payments should be made directly to young people wherever possible to enable them to purchase goods and services directly. This excludes accommodation costs, which may be paid direct to accommodation providers. </w:t>
      </w:r>
    </w:p>
    <w:p w14:paraId="4046F5F3" w14:textId="788831BD" w:rsidR="000B18BE" w:rsidRDefault="000B18BE" w:rsidP="000B18BE">
      <w:r>
        <w:t>3.8</w:t>
      </w:r>
      <w:r w:rsidR="001C4367">
        <w:t>.</w:t>
      </w:r>
      <w:r>
        <w:t xml:space="preserve"> The Council provides adequate funding to ensure that all goods and services required by young people can be obtained from reputable suppliers or service providers and meet relevant safety and hygiene standards. Young people are </w:t>
      </w:r>
      <w:r>
        <w:lastRenderedPageBreak/>
        <w:t>supported to develop their knowledge and understanding of how to make suitable safe purchasing choices. This support will be developed through close working and effective relationships with the care staff who are best placed to work directly with the young person.</w:t>
      </w:r>
    </w:p>
    <w:p w14:paraId="7D5634DA" w14:textId="77777777" w:rsidR="000B18BE" w:rsidRDefault="000B18BE" w:rsidP="000B18BE">
      <w:r>
        <w:t>3.9 With the exception of emergencies, any travel provided should be via the most economical route, booked in advance and should utilise any discounts available, for example, a Young Scot card, ADS, or Islander discount.</w:t>
      </w:r>
    </w:p>
    <w:p w14:paraId="6F369DA2" w14:textId="1BE90604" w:rsidR="000B18BE" w:rsidRDefault="000B18BE" w:rsidP="000B18BE">
      <w:r>
        <w:t>3.9</w:t>
      </w:r>
      <w:r w:rsidR="001C4367">
        <w:t>.</w:t>
      </w:r>
      <w:r>
        <w:t xml:space="preserve"> Making choices about use of resources requires judgement which develops with experience and guidance. Carers should prepare young people for independence as far as possible and must provide guidance about managing finances. As with all our lives, mistakes will inevitably be made and ‘learning through experience’ should be reflected upon and viewed as personal development. If young people get into difficulties the response will be constructive and directed towards finding the best way forward, solution focussed.</w:t>
      </w:r>
    </w:p>
    <w:p w14:paraId="1D4A353B" w14:textId="13D22150" w:rsidR="000B18BE" w:rsidRDefault="000B18BE" w:rsidP="000B18BE">
      <w:r>
        <w:t>3.10</w:t>
      </w:r>
      <w:r w:rsidR="001C4367">
        <w:t>.</w:t>
      </w:r>
      <w:r>
        <w:t xml:space="preserve"> In addition to necessities, care experienced young people should have access to opportunities and experiences which promote their wellbeing and personal development.</w:t>
      </w:r>
      <w:r w:rsidR="00922BC4">
        <w:t xml:space="preserve"> </w:t>
      </w:r>
      <w:r>
        <w:t xml:space="preserve">They should not be disadvantaged in situations when good parents would intervene to facilitate such experiences. </w:t>
      </w:r>
    </w:p>
    <w:p w14:paraId="42E8E922" w14:textId="1DBD9954" w:rsidR="000B18BE" w:rsidRDefault="4BC02853" w:rsidP="001C4367">
      <w:pPr>
        <w:pStyle w:val="Heading2"/>
      </w:pPr>
      <w:bookmarkStart w:id="6" w:name="_Toc208838836"/>
      <w:bookmarkStart w:id="7" w:name="_Toc208838995"/>
      <w:r>
        <w:t>4</w:t>
      </w:r>
      <w:r w:rsidR="10600EA0">
        <w:t xml:space="preserve">. </w:t>
      </w:r>
      <w:r>
        <w:t xml:space="preserve">Living costs for </w:t>
      </w:r>
      <w:proofErr w:type="gramStart"/>
      <w:r>
        <w:t>16</w:t>
      </w:r>
      <w:r w:rsidR="4818E622">
        <w:t xml:space="preserve"> </w:t>
      </w:r>
      <w:r>
        <w:t>and 17</w:t>
      </w:r>
      <w:r w:rsidR="4818E622">
        <w:t xml:space="preserve"> </w:t>
      </w:r>
      <w:r>
        <w:t>year</w:t>
      </w:r>
      <w:r w:rsidR="4818E622">
        <w:t xml:space="preserve"> </w:t>
      </w:r>
      <w:r>
        <w:t>olds</w:t>
      </w:r>
      <w:bookmarkEnd w:id="6"/>
      <w:bookmarkEnd w:id="7"/>
      <w:proofErr w:type="gramEnd"/>
    </w:p>
    <w:p w14:paraId="7C4488E0" w14:textId="5F14F795" w:rsidR="000B18BE" w:rsidRDefault="000B18BE" w:rsidP="000B18BE">
      <w:r>
        <w:t>4.1</w:t>
      </w:r>
      <w:r w:rsidR="001C4367">
        <w:t>.</w:t>
      </w:r>
      <w:r>
        <w:t xml:space="preserve"> Whilst Continuing Care is encouraged, a small number of </w:t>
      </w:r>
      <w:proofErr w:type="gramStart"/>
      <w:r>
        <w:t>16 and 17</w:t>
      </w:r>
      <w:r w:rsidR="00EC57FF">
        <w:t xml:space="preserve"> </w:t>
      </w:r>
      <w:r>
        <w:t>year</w:t>
      </w:r>
      <w:r w:rsidR="00EC57FF">
        <w:t xml:space="preserve"> </w:t>
      </w:r>
      <w:r>
        <w:t>olds</w:t>
      </w:r>
      <w:proofErr w:type="gramEnd"/>
      <w:r>
        <w:t xml:space="preserve"> move on to living independently from the outset.</w:t>
      </w:r>
    </w:p>
    <w:p w14:paraId="6C43FD2C" w14:textId="2C6031B1" w:rsidR="000B18BE" w:rsidRDefault="000B18BE" w:rsidP="000B18BE">
      <w:r>
        <w:t>4.2</w:t>
      </w:r>
      <w:r w:rsidR="001C4367">
        <w:t>.</w:t>
      </w:r>
      <w:r>
        <w:t xml:space="preserve"> </w:t>
      </w:r>
      <w:r w:rsidR="00C1769E">
        <w:t xml:space="preserve">Some </w:t>
      </w:r>
      <w:r>
        <w:t xml:space="preserve">care experienced young people aged 16 and 17 </w:t>
      </w:r>
      <w:proofErr w:type="gramStart"/>
      <w:r>
        <w:t>are not able to</w:t>
      </w:r>
      <w:proofErr w:type="gramEnd"/>
      <w:r>
        <w:t xml:space="preserve"> claim Universal Credit. Young people who meet the following eligibility criteria must be provided with accommodation and financial support by Orkney Islands Council if they live independently and:</w:t>
      </w:r>
    </w:p>
    <w:p w14:paraId="07546E4F" w14:textId="1C1ED0C2" w:rsidR="000B18BE" w:rsidRDefault="000B18BE" w:rsidP="00483993">
      <w:pPr>
        <w:pStyle w:val="ListParagraph"/>
        <w:ind w:left="426" w:hanging="426"/>
      </w:pPr>
      <w:r>
        <w:t>They were looked after by the Council in foster care, kinship care or residential care at their 16th birthday or after that date</w:t>
      </w:r>
      <w:r w:rsidR="00EC57FF">
        <w:t>.</w:t>
      </w:r>
      <w:r>
        <w:t xml:space="preserve"> </w:t>
      </w:r>
    </w:p>
    <w:p w14:paraId="4D1880C6" w14:textId="62715CB5" w:rsidR="000B18BE" w:rsidRDefault="000B18BE" w:rsidP="00483993">
      <w:pPr>
        <w:pStyle w:val="ListParagraph"/>
        <w:ind w:left="426" w:hanging="426"/>
      </w:pPr>
      <w:r>
        <w:t xml:space="preserve">They were looked after away from home by the local authority for at least thirteen weeks after the age of 14 (the </w:t>
      </w:r>
      <w:r w:rsidR="00EC57FF">
        <w:t>13</w:t>
      </w:r>
      <w:r>
        <w:t xml:space="preserve"> weeks does</w:t>
      </w:r>
      <w:r w:rsidR="00EC57FF">
        <w:t xml:space="preserve"> </w:t>
      </w:r>
      <w:r>
        <w:t>n</w:t>
      </w:r>
      <w:r w:rsidR="00EC57FF">
        <w:t>o</w:t>
      </w:r>
      <w:r>
        <w:t>t have to be a continuous period)</w:t>
      </w:r>
      <w:r w:rsidR="00EC57FF">
        <w:t>.</w:t>
      </w:r>
    </w:p>
    <w:p w14:paraId="40110EFC" w14:textId="35776DAF" w:rsidR="000B18BE" w:rsidRDefault="000B18BE" w:rsidP="00483993">
      <w:pPr>
        <w:pStyle w:val="ListParagraph"/>
        <w:spacing w:after="240"/>
        <w:ind w:left="425" w:hanging="425"/>
      </w:pPr>
      <w:r>
        <w:t>They are no longer looked after by the Council.</w:t>
      </w:r>
    </w:p>
    <w:p w14:paraId="6978B854" w14:textId="76E55CBA" w:rsidR="000B18BE" w:rsidRDefault="001C4367" w:rsidP="000B18BE">
      <w:r>
        <w:t xml:space="preserve">4.2.1. </w:t>
      </w:r>
      <w:r w:rsidR="000B18BE">
        <w:t xml:space="preserve">There are some exceptions: young people who have limited capability for work and young people who are responsible for a child are entitled to other benefits and will not usually require financial support. However, they remain eligible to have their accommodation costs provided. </w:t>
      </w:r>
    </w:p>
    <w:p w14:paraId="5744661A" w14:textId="582350B7" w:rsidR="000B18BE" w:rsidRDefault="000B18BE" w:rsidP="000B18BE">
      <w:r>
        <w:t>4.3</w:t>
      </w:r>
      <w:r w:rsidR="001C4367">
        <w:t>.</w:t>
      </w:r>
      <w:r>
        <w:t xml:space="preserve"> The amount of financial support for care leavers aged 16 and 17 should be at least the equivalent of the social security benefit from which the young person is excluded. The current rate of Universal Credit for a single person aged under 25 is £79.25 a week.</w:t>
      </w:r>
    </w:p>
    <w:p w14:paraId="760DC963" w14:textId="535BC061" w:rsidR="000B18BE" w:rsidRDefault="000B18BE" w:rsidP="000B18BE">
      <w:r>
        <w:t>4.4</w:t>
      </w:r>
      <w:r w:rsidR="001C4367">
        <w:t>.</w:t>
      </w:r>
      <w:r>
        <w:t xml:space="preserve"> The Council will cover the following housing costs for eligible </w:t>
      </w:r>
      <w:proofErr w:type="gramStart"/>
      <w:r>
        <w:t>16 and 17</w:t>
      </w:r>
      <w:r w:rsidR="002E5941">
        <w:t xml:space="preserve"> </w:t>
      </w:r>
      <w:r>
        <w:t>year</w:t>
      </w:r>
      <w:r w:rsidR="002E5941">
        <w:t xml:space="preserve"> </w:t>
      </w:r>
      <w:r>
        <w:t>olds</w:t>
      </w:r>
      <w:proofErr w:type="gramEnd"/>
      <w:r>
        <w:t>:</w:t>
      </w:r>
    </w:p>
    <w:p w14:paraId="09F3C1EC" w14:textId="5390704A" w:rsidR="000B18BE" w:rsidRDefault="00EC57FF" w:rsidP="00483993">
      <w:pPr>
        <w:pStyle w:val="ListParagraph"/>
        <w:ind w:left="426" w:hanging="426"/>
      </w:pPr>
      <w:r>
        <w:lastRenderedPageBreak/>
        <w:t>R</w:t>
      </w:r>
      <w:r w:rsidR="000B18BE">
        <w:t>ent (paid directly to accommodation provider)</w:t>
      </w:r>
      <w:r>
        <w:t>.</w:t>
      </w:r>
    </w:p>
    <w:p w14:paraId="67631E06" w14:textId="6730AB6F" w:rsidR="000B18BE" w:rsidRDefault="00EC57FF" w:rsidP="00483993">
      <w:pPr>
        <w:pStyle w:val="ListParagraph"/>
        <w:ind w:left="426" w:hanging="426"/>
      </w:pPr>
      <w:r>
        <w:t>C</w:t>
      </w:r>
      <w:r w:rsidR="000B18BE">
        <w:t>ontents insurance, internet connection and TV licence (if required)</w:t>
      </w:r>
      <w:r>
        <w:t>.</w:t>
      </w:r>
    </w:p>
    <w:p w14:paraId="6083BB39" w14:textId="512DB862" w:rsidR="000B18BE" w:rsidRDefault="00EC57FF" w:rsidP="00483993">
      <w:pPr>
        <w:pStyle w:val="ListParagraph"/>
        <w:spacing w:after="240"/>
        <w:ind w:left="425" w:hanging="425"/>
      </w:pPr>
      <w:r>
        <w:t>A</w:t>
      </w:r>
      <w:r w:rsidR="000B18BE">
        <w:t>ny essential health costs not covered by NHS</w:t>
      </w:r>
      <w:r>
        <w:t>.</w:t>
      </w:r>
    </w:p>
    <w:p w14:paraId="38B25AE4" w14:textId="51B7CF00" w:rsidR="000B18BE" w:rsidRDefault="000B18BE" w:rsidP="000B18BE">
      <w:r>
        <w:t>4.5</w:t>
      </w:r>
      <w:r w:rsidR="001C4367">
        <w:t>.</w:t>
      </w:r>
      <w:r>
        <w:t xml:space="preserve"> The</w:t>
      </w:r>
      <w:r w:rsidR="003426D3">
        <w:t xml:space="preserve"> sums in 4.3 and 4.4</w:t>
      </w:r>
      <w:r>
        <w:t xml:space="preserve"> can be paid weekly, two-weekly or monthly, depending on what is most helpful for the individual. The young person will be encouraged to accept and manage monthly payments from the age of 17 years and </w:t>
      </w:r>
      <w:r w:rsidR="00483993">
        <w:t>six</w:t>
      </w:r>
      <w:r>
        <w:t xml:space="preserve"> months, to aid the transition to Universal Credit which is paid monthly from the age of 18. </w:t>
      </w:r>
    </w:p>
    <w:p w14:paraId="2D55A6DC" w14:textId="12CBEA41" w:rsidR="000B18BE" w:rsidRDefault="000B18BE" w:rsidP="000B18BE">
      <w:r>
        <w:t>4.6</w:t>
      </w:r>
      <w:r w:rsidR="001C4367">
        <w:t>.</w:t>
      </w:r>
      <w:r>
        <w:t xml:space="preserve"> One extra month of allowances will be paid when the young person reaches the age of 18 to ‘buffer’ the transition to Universal Credit. </w:t>
      </w:r>
      <w:r w:rsidR="003426D3">
        <w:t xml:space="preserve">This is due to the delay </w:t>
      </w:r>
      <w:r w:rsidR="00AB3E14">
        <w:t>that will be present in the receipt of benefit</w:t>
      </w:r>
      <w:r w:rsidR="007C0029">
        <w:t xml:space="preserve"> from the point that they can be claimed</w:t>
      </w:r>
      <w:r w:rsidR="00AB3E14">
        <w:t xml:space="preserve"> and the young person leaving their carer</w:t>
      </w:r>
      <w:r w:rsidR="007C0029">
        <w:t xml:space="preserve">. Carers are not </w:t>
      </w:r>
      <w:r w:rsidR="00EF2CA8">
        <w:t>provided with additional funds to support the young people to transition into independence.</w:t>
      </w:r>
      <w:r w:rsidR="003D484C">
        <w:t xml:space="preserve"> </w:t>
      </w:r>
    </w:p>
    <w:p w14:paraId="49EF0B15" w14:textId="75671006" w:rsidR="000B18BE" w:rsidRDefault="000B18BE" w:rsidP="000B18BE">
      <w:r>
        <w:t>4.7</w:t>
      </w:r>
      <w:r w:rsidR="001C4367">
        <w:t>.</w:t>
      </w:r>
      <w:r>
        <w:t xml:space="preserve"> If a young person is in employment and has a permanent or temporary contract which guarantees a minimum number of hours work per week, the allowance paid by the local authority can be reduced by an amount equivalent to 25% of their net salary. Any financial assessment will take into consideration the young person’s overall circumstances including financial matters which may need special attention, and which would otherwise place the young person in financial detriment if not considered. For example, debt or outstanding loans.</w:t>
      </w:r>
    </w:p>
    <w:p w14:paraId="7288F134" w14:textId="561D9BE6" w:rsidR="000B18BE" w:rsidRDefault="000B18BE" w:rsidP="000B18BE">
      <w:r>
        <w:t>4.8</w:t>
      </w:r>
      <w:r w:rsidR="001C4367">
        <w:t>.</w:t>
      </w:r>
      <w:r>
        <w:t xml:space="preserve"> Young people in receipt of the Care</w:t>
      </w:r>
      <w:r w:rsidR="008874C4">
        <w:t xml:space="preserve"> </w:t>
      </w:r>
      <w:r>
        <w:t xml:space="preserve">Experienced Bursary for students will not require an allowance for living costs. They remain eligible for other elements of support appropriate for their circumstances, all of which shall be considered in any financial assessment to ensure they are not in financial detriment. </w:t>
      </w:r>
    </w:p>
    <w:p w14:paraId="0A9A4A29" w14:textId="7858AC26" w:rsidR="000B18BE" w:rsidRDefault="4BC02853" w:rsidP="00EC57FF">
      <w:pPr>
        <w:pStyle w:val="Heading2"/>
      </w:pPr>
      <w:bookmarkStart w:id="8" w:name="_Toc208838837"/>
      <w:bookmarkStart w:id="9" w:name="_Toc208838996"/>
      <w:r>
        <w:t>5</w:t>
      </w:r>
      <w:r w:rsidR="10600EA0">
        <w:t xml:space="preserve">. </w:t>
      </w:r>
      <w:r>
        <w:t xml:space="preserve">Leaving Care Grant and </w:t>
      </w:r>
      <w:r w:rsidR="4818E622">
        <w:t>A</w:t>
      </w:r>
      <w:r>
        <w:t xml:space="preserve">ssociated </w:t>
      </w:r>
      <w:r w:rsidR="4818E622">
        <w:t>H</w:t>
      </w:r>
      <w:r>
        <w:t xml:space="preserve">ousing </w:t>
      </w:r>
      <w:r w:rsidR="4818E622">
        <w:t>C</w:t>
      </w:r>
      <w:r>
        <w:t>osts</w:t>
      </w:r>
      <w:bookmarkEnd w:id="8"/>
      <w:bookmarkEnd w:id="9"/>
    </w:p>
    <w:p w14:paraId="5C1BBA85" w14:textId="6ED475D4" w:rsidR="000B18BE" w:rsidRDefault="000B18BE" w:rsidP="000B18BE">
      <w:r>
        <w:t>5.1</w:t>
      </w:r>
      <w:r w:rsidR="00BB24A4">
        <w:t>.</w:t>
      </w:r>
      <w:r w:rsidR="00EC57FF">
        <w:t xml:space="preserve"> </w:t>
      </w:r>
      <w:r>
        <w:t>Young people between the age of 16 and 25 who meet the eligibility criteria set out at 4.2 will be provided with a grant to support them in making the transition to living independently.</w:t>
      </w:r>
      <w:r w:rsidR="00922BC4">
        <w:t xml:space="preserve"> </w:t>
      </w:r>
    </w:p>
    <w:p w14:paraId="2ECF5FED" w14:textId="203308A6" w:rsidR="000B18BE" w:rsidRDefault="000B18BE" w:rsidP="000B18BE">
      <w:r>
        <w:t>5.2</w:t>
      </w:r>
      <w:r w:rsidR="00BB24A4">
        <w:t>.</w:t>
      </w:r>
      <w:r w:rsidR="00EC57FF">
        <w:t xml:space="preserve"> </w:t>
      </w:r>
      <w:r>
        <w:t xml:space="preserve">The grant can be paid in stages, for example, a young person who moves into furnished accommodation may initially need to purchase limited household goods then set up their own home </w:t>
      </w:r>
      <w:proofErr w:type="gramStart"/>
      <w:r>
        <w:t>at a later date</w:t>
      </w:r>
      <w:proofErr w:type="gramEnd"/>
      <w:r>
        <w:t>.</w:t>
      </w:r>
    </w:p>
    <w:p w14:paraId="649FD83E" w14:textId="0330B828" w:rsidR="000B18BE" w:rsidRDefault="000B18BE" w:rsidP="000B18BE">
      <w:r>
        <w:t>5.3</w:t>
      </w:r>
      <w:r w:rsidR="00BB24A4">
        <w:t>.</w:t>
      </w:r>
      <w:r>
        <w:t xml:space="preserve"> Young people should discuss their needs and intentions with their social worker before payment of the grant or part of the grant is finalised. The social worker keeps a record of payments and can confirm how much is available</w:t>
      </w:r>
      <w:r w:rsidR="002E5941">
        <w:t xml:space="preserve">, </w:t>
      </w:r>
      <w:r>
        <w:t>see Appendix 3.</w:t>
      </w:r>
      <w:r w:rsidR="00922BC4">
        <w:t xml:space="preserve"> </w:t>
      </w:r>
    </w:p>
    <w:p w14:paraId="6337B7DC" w14:textId="40695478" w:rsidR="000B18BE" w:rsidRDefault="000B18BE" w:rsidP="000B18BE">
      <w:r>
        <w:t>5.4</w:t>
      </w:r>
      <w:r w:rsidR="00BB24A4">
        <w:t>.</w:t>
      </w:r>
      <w:r>
        <w:t xml:space="preserve"> For young people who attained the age of 16 the maximum payable is £2,000.</w:t>
      </w:r>
    </w:p>
    <w:p w14:paraId="6B955DFE" w14:textId="23DA5B62" w:rsidR="000B18BE" w:rsidRDefault="000B18BE" w:rsidP="000B18BE">
      <w:r>
        <w:t>5.5</w:t>
      </w:r>
      <w:r w:rsidR="00BB24A4">
        <w:t>.</w:t>
      </w:r>
      <w:r>
        <w:t xml:space="preserve"> In addition to this grant some initial housing costs may be paid as follows:</w:t>
      </w:r>
    </w:p>
    <w:p w14:paraId="5C43C8C4" w14:textId="78999974" w:rsidR="000B18BE" w:rsidRDefault="000B18BE" w:rsidP="008874C4">
      <w:pPr>
        <w:pStyle w:val="ListParagraph"/>
        <w:ind w:left="426" w:hanging="426"/>
      </w:pPr>
      <w:r>
        <w:t>First deposit or bond (when no other accommodation is available, and the suitability of the property has been checked). The Council may also act as a ‘guarantor’ in some circumstances.</w:t>
      </w:r>
    </w:p>
    <w:p w14:paraId="2F79EBD5" w14:textId="4CB22A41" w:rsidR="000B18BE" w:rsidRDefault="000B18BE" w:rsidP="008874C4">
      <w:pPr>
        <w:pStyle w:val="ListParagraph"/>
        <w:ind w:left="426" w:hanging="426"/>
      </w:pPr>
      <w:r>
        <w:t>Home and Contents insurance, internet connection and TV licence for one year</w:t>
      </w:r>
      <w:r w:rsidR="00EC57FF">
        <w:t>.</w:t>
      </w:r>
    </w:p>
    <w:p w14:paraId="7359220B" w14:textId="3878B8DC" w:rsidR="000B18BE" w:rsidRDefault="000B18BE" w:rsidP="008874C4">
      <w:pPr>
        <w:pStyle w:val="ListParagraph"/>
        <w:ind w:left="426" w:hanging="426"/>
      </w:pPr>
      <w:r>
        <w:lastRenderedPageBreak/>
        <w:t>Removal costs, if required, on production of two quotes</w:t>
      </w:r>
      <w:r w:rsidR="00EC57FF">
        <w:t>.</w:t>
      </w:r>
    </w:p>
    <w:p w14:paraId="3D7BEDC4" w14:textId="3E3D6B9E" w:rsidR="000B18BE" w:rsidRDefault="000B18BE" w:rsidP="008874C4">
      <w:pPr>
        <w:pStyle w:val="ListParagraph"/>
        <w:ind w:left="426" w:hanging="426"/>
      </w:pPr>
      <w:r>
        <w:t>Suitable luggage and packaging for personal possessions</w:t>
      </w:r>
      <w:r w:rsidR="00EC57FF">
        <w:t>.</w:t>
      </w:r>
    </w:p>
    <w:p w14:paraId="565D5616" w14:textId="6FB0F76A" w:rsidR="000B18BE" w:rsidRDefault="000B18BE" w:rsidP="008874C4">
      <w:pPr>
        <w:pStyle w:val="ListParagraph"/>
        <w:spacing w:after="240"/>
        <w:ind w:left="425" w:hanging="425"/>
      </w:pPr>
      <w:r>
        <w:t xml:space="preserve">One ‘shop’ for essential cleaning and domestic items value up to £100, supported by care staff as required. </w:t>
      </w:r>
    </w:p>
    <w:p w14:paraId="3ABB6C9B" w14:textId="5EC0B2B4" w:rsidR="000B18BE" w:rsidRDefault="000B18BE" w:rsidP="000B18BE">
      <w:r>
        <w:t>5.6</w:t>
      </w:r>
      <w:r w:rsidR="00EC57FF">
        <w:t>.</w:t>
      </w:r>
      <w:r>
        <w:t xml:space="preserve"> Regarding housing, care experienced young people who remain in Orkney will be encouraged to apply for housing by staff within Orkney Islands Council. They will be advised of their priority when applying for a first home.</w:t>
      </w:r>
      <w:r w:rsidR="00922BC4">
        <w:t xml:space="preserve"> </w:t>
      </w:r>
      <w:r>
        <w:t xml:space="preserve">It is an expectation under </w:t>
      </w:r>
      <w:r w:rsidR="00EC57FF">
        <w:t xml:space="preserve">corporate parent responsibilities </w:t>
      </w:r>
      <w:r>
        <w:t xml:space="preserve">that care experienced young people will have the highest priority. </w:t>
      </w:r>
    </w:p>
    <w:p w14:paraId="434258C4" w14:textId="1C68718D" w:rsidR="000B18BE" w:rsidRDefault="000B18BE" w:rsidP="000B18BE">
      <w:r>
        <w:t>5.7</w:t>
      </w:r>
      <w:r w:rsidR="00EC57FF">
        <w:t>.</w:t>
      </w:r>
      <w:r>
        <w:t xml:space="preserve"> Care experienced young people are not required to pay Council Tax until they reach the age of 26. They need to make a claim for this exemption and their eligibility confirmed by their social worker.</w:t>
      </w:r>
    </w:p>
    <w:p w14:paraId="6354249A" w14:textId="4A30322E" w:rsidR="000B18BE" w:rsidRDefault="4BC02853" w:rsidP="00754195">
      <w:pPr>
        <w:pStyle w:val="Heading2"/>
      </w:pPr>
      <w:bookmarkStart w:id="10" w:name="_Toc208838838"/>
      <w:bookmarkStart w:id="11" w:name="_Toc208838997"/>
      <w:r>
        <w:t>6</w:t>
      </w:r>
      <w:r w:rsidR="16D9D1F5">
        <w:t xml:space="preserve">. </w:t>
      </w:r>
      <w:r>
        <w:t xml:space="preserve">Additional </w:t>
      </w:r>
      <w:r w:rsidR="4818E622">
        <w:t>G</w:t>
      </w:r>
      <w:r>
        <w:t xml:space="preserve">rants and </w:t>
      </w:r>
      <w:r w:rsidR="4818E622">
        <w:t>A</w:t>
      </w:r>
      <w:r>
        <w:t>llowances</w:t>
      </w:r>
      <w:bookmarkEnd w:id="10"/>
      <w:bookmarkEnd w:id="11"/>
    </w:p>
    <w:p w14:paraId="2E0D1A23" w14:textId="521D6B10" w:rsidR="000B18BE" w:rsidRDefault="000B18BE" w:rsidP="000B18BE">
      <w:r>
        <w:t>6.1</w:t>
      </w:r>
      <w:r w:rsidR="00754195">
        <w:t xml:space="preserve">. </w:t>
      </w:r>
      <w:r>
        <w:t xml:space="preserve">The following discretionary grants and allowances may be agreed to promote the wellbeing of care experienced young people. Decisions will be made according to the principles set out in Section 3. </w:t>
      </w:r>
      <w:r w:rsidR="007E75BB" w:rsidRPr="00B961C4">
        <w:t>Any emergency payment over £500 will require the approval of the relevant Head of Service. Where a payment over £500 is planned, this should be considered by the Resource Management Meeting.</w:t>
      </w:r>
    </w:p>
    <w:p w14:paraId="47B083A9" w14:textId="60C12D09" w:rsidR="000B18BE" w:rsidRDefault="000B18BE" w:rsidP="000B18BE">
      <w:r>
        <w:t>6.2</w:t>
      </w:r>
      <w:r w:rsidR="00754195">
        <w:t xml:space="preserve">. </w:t>
      </w:r>
      <w:r>
        <w:t>A young person who is being supported to request an additional payment will be encouraged to provide information about their plans, choices and needs to facilitate decision making to complete the application form for this purpose</w:t>
      </w:r>
      <w:r w:rsidR="002E5941">
        <w:t xml:space="preserve">, see </w:t>
      </w:r>
      <w:r>
        <w:t>Appendix 3.</w:t>
      </w:r>
    </w:p>
    <w:p w14:paraId="51BB77A1" w14:textId="2078F94E" w:rsidR="00D43753" w:rsidRDefault="000B18BE" w:rsidP="000B18BE">
      <w:r>
        <w:t>6.</w:t>
      </w:r>
      <w:r w:rsidR="007E75BB">
        <w:t>3</w:t>
      </w:r>
      <w:r w:rsidR="00754195">
        <w:t xml:space="preserve">. </w:t>
      </w:r>
      <w:r>
        <w:t xml:space="preserve">The following table sets out the circumstances when payment </w:t>
      </w:r>
      <w:r w:rsidRPr="007D2DA3">
        <w:rPr>
          <w:b/>
          <w:bCs/>
        </w:rPr>
        <w:t xml:space="preserve">of </w:t>
      </w:r>
      <w:r w:rsidRPr="007D2DA3">
        <w:rPr>
          <w:rStyle w:val="EmphasisOICChar"/>
          <w:b w:val="0"/>
          <w:bCs/>
        </w:rPr>
        <w:t>discretionary grants and allowances</w:t>
      </w:r>
      <w:r>
        <w:t xml:space="preserve"> can be made. Social workers and their managers must act in accordance with financial regulations and our “Good Parenting Principles”: It is worth noting that the local authority </w:t>
      </w:r>
      <w:r w:rsidRPr="00946A36">
        <w:rPr>
          <w:rStyle w:val="EmphasisOICChar"/>
        </w:rPr>
        <w:t>does not have a duty</w:t>
      </w:r>
      <w:r>
        <w:t xml:space="preserve"> to make these payments.</w:t>
      </w:r>
    </w:p>
    <w:tbl>
      <w:tblPr>
        <w:tblStyle w:val="ListTable3-Accent5"/>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57" w:type="dxa"/>
          <w:bottom w:w="57" w:type="dxa"/>
        </w:tblCellMar>
        <w:tblLook w:val="04A0" w:firstRow="1" w:lastRow="0" w:firstColumn="1" w:lastColumn="0" w:noHBand="0" w:noVBand="1"/>
      </w:tblPr>
      <w:tblGrid>
        <w:gridCol w:w="3571"/>
        <w:gridCol w:w="5445"/>
      </w:tblGrid>
      <w:tr w:rsidR="008D0607" w14:paraId="5858B03D" w14:textId="77777777" w:rsidTr="007D2DA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0070C0"/>
          </w:tcPr>
          <w:p w14:paraId="14C75DFB" w14:textId="77777777" w:rsidR="008D0607" w:rsidRDefault="008D0607" w:rsidP="008D0607">
            <w:pPr>
              <w:pStyle w:val="OICTable"/>
            </w:pPr>
            <w:r w:rsidRPr="00357A61">
              <w:t>Purpose of Grant or Allowance</w:t>
            </w:r>
          </w:p>
        </w:tc>
        <w:tc>
          <w:tcPr>
            <w:tcW w:w="0" w:type="dxa"/>
            <w:shd w:val="clear" w:color="auto" w:fill="0070C0"/>
          </w:tcPr>
          <w:p w14:paraId="3F6D1F5B" w14:textId="77777777" w:rsidR="008D0607" w:rsidRDefault="008D0607" w:rsidP="008D0607">
            <w:pPr>
              <w:pStyle w:val="OICTable"/>
              <w:cnfStyle w:val="100000000000" w:firstRow="1" w:lastRow="0" w:firstColumn="0" w:lastColumn="0" w:oddVBand="0" w:evenVBand="0" w:oddHBand="0" w:evenHBand="0" w:firstRowFirstColumn="0" w:firstRowLastColumn="0" w:lastRowFirstColumn="0" w:lastRowLastColumn="0"/>
            </w:pPr>
            <w:r>
              <w:rPr>
                <w:rFonts w:cs="Arial"/>
              </w:rPr>
              <w:t>Good Parenting Principles</w:t>
            </w:r>
          </w:p>
        </w:tc>
      </w:tr>
      <w:tr w:rsidR="008D0607" w14:paraId="26DBC334"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5D6DE741" w14:textId="715DE9CB" w:rsidR="008D0607" w:rsidRDefault="00B961C4" w:rsidP="008D0607">
            <w:pPr>
              <w:pStyle w:val="OICTable"/>
            </w:pPr>
            <w:r w:rsidRPr="007D2DA3">
              <w:rPr>
                <w:b w:val="0"/>
                <w:bCs w:val="0"/>
              </w:rPr>
              <w:t>Promoting Independent Living</w:t>
            </w:r>
          </w:p>
        </w:tc>
        <w:tc>
          <w:tcPr>
            <w:tcW w:w="5445" w:type="dxa"/>
          </w:tcPr>
          <w:p w14:paraId="5C4D934F" w14:textId="77777777" w:rsidR="008D0607" w:rsidRDefault="008D0607" w:rsidP="00946A36">
            <w:pPr>
              <w:pStyle w:val="OICTable"/>
              <w:spacing w:after="120"/>
              <w:cnfStyle w:val="000000100000" w:firstRow="0" w:lastRow="0" w:firstColumn="0" w:lastColumn="0" w:oddVBand="0" w:evenVBand="0" w:oddHBand="1" w:evenHBand="0" w:firstRowFirstColumn="0" w:firstRowLastColumn="0" w:lastRowFirstColumn="0" w:lastRowLastColumn="0"/>
            </w:pPr>
            <w:r w:rsidRPr="00357A61">
              <w:t xml:space="preserve">All required support will be assessed based on need, and assistance will be sensitive, non-discriminatory and “parent child” relationship based, like any good parent supporting their child in all such circumstances. </w:t>
            </w:r>
          </w:p>
          <w:p w14:paraId="0C6EAF5B" w14:textId="77777777" w:rsidR="008D0607" w:rsidRDefault="008D0607" w:rsidP="00946A36">
            <w:pPr>
              <w:pStyle w:val="OICTable"/>
              <w:spacing w:after="120"/>
              <w:cnfStyle w:val="000000100000" w:firstRow="0" w:lastRow="0" w:firstColumn="0" w:lastColumn="0" w:oddVBand="0" w:evenVBand="0" w:oddHBand="1" w:evenHBand="0" w:firstRowFirstColumn="0" w:firstRowLastColumn="0" w:lastRowFirstColumn="0" w:lastRowLastColumn="0"/>
            </w:pPr>
            <w:r w:rsidRPr="00357A61">
              <w:t>Financial limits, where set below, are for management, budget, and equity purposes. Flexibility applies to meet individual need taking account of personal circumstances bearing in mind the higher costs of other action such as alternative accommodation for young people or accommodating children.</w:t>
            </w:r>
          </w:p>
          <w:p w14:paraId="66F5C56C" w14:textId="77777777" w:rsidR="008D0607" w:rsidRPr="00357A61" w:rsidRDefault="008D0607" w:rsidP="00946A36">
            <w:pPr>
              <w:pStyle w:val="OICTable"/>
              <w:spacing w:after="120"/>
              <w:cnfStyle w:val="000000100000" w:firstRow="0" w:lastRow="0" w:firstColumn="0" w:lastColumn="0" w:oddVBand="0" w:evenVBand="0" w:oddHBand="1" w:evenHBand="0" w:firstRowFirstColumn="0" w:firstRowLastColumn="0" w:lastRowFirstColumn="0" w:lastRowLastColumn="0"/>
            </w:pPr>
            <w:r w:rsidRPr="00357A61">
              <w:t xml:space="preserve">Good parents should be good at managing their budgets too and good leadership is about doing </w:t>
            </w:r>
            <w:r w:rsidRPr="00357A61">
              <w:lastRenderedPageBreak/>
              <w:t xml:space="preserve">the right things by all our children and young people and considering if the budget can be fair and equitable. </w:t>
            </w:r>
          </w:p>
          <w:p w14:paraId="0CE3E854" w14:textId="4A1433CD"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357A61">
              <w:t>Any discretionary payments/financial commitments within these tables MUST be agreed at service manager level and clearly recorded on PARIS (this may require pathway assessments and plans to be ratified at service manager level where there are any ongoing financial commitment)</w:t>
            </w:r>
            <w:r>
              <w:t>.</w:t>
            </w:r>
          </w:p>
          <w:p w14:paraId="6C237210" w14:textId="052D258C" w:rsidR="008D0607" w:rsidRDefault="008D0607" w:rsidP="007208DE">
            <w:pPr>
              <w:pStyle w:val="OICTable"/>
              <w:cnfStyle w:val="000000100000" w:firstRow="0" w:lastRow="0" w:firstColumn="0" w:lastColumn="0" w:oddVBand="0" w:evenVBand="0" w:oddHBand="1" w:evenHBand="0" w:firstRowFirstColumn="0" w:firstRowLastColumn="0" w:lastRowFirstColumn="0" w:lastRowLastColumn="0"/>
            </w:pPr>
            <w:r w:rsidRPr="00552F83">
              <w:t>On a monthly basis the Head of Service will review any one-off payments and will give approval for any recurrent payments. Any one-off payments above £500 will require Head of Service approval.</w:t>
            </w:r>
          </w:p>
        </w:tc>
      </w:tr>
      <w:tr w:rsidR="004A30BA" w14:paraId="1B853E3A"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3F8AE1DE" w14:textId="77777777" w:rsidR="008D0607" w:rsidRPr="000844C5" w:rsidRDefault="008D0607" w:rsidP="008D0607">
            <w:pPr>
              <w:pStyle w:val="OICTable"/>
              <w:rPr>
                <w:color w:val="FFFFFF" w:themeColor="background1"/>
              </w:rPr>
            </w:pPr>
            <w:r w:rsidRPr="000844C5">
              <w:rPr>
                <w:color w:val="FFFFFF" w:themeColor="background1"/>
              </w:rPr>
              <w:lastRenderedPageBreak/>
              <w:t>Educational Provision</w:t>
            </w:r>
          </w:p>
        </w:tc>
        <w:tc>
          <w:tcPr>
            <w:tcW w:w="5445" w:type="dxa"/>
            <w:shd w:val="clear" w:color="auto" w:fill="0070C0"/>
          </w:tcPr>
          <w:p w14:paraId="4E07C7B5" w14:textId="286B2973" w:rsidR="008D0607" w:rsidRPr="000844C5" w:rsidRDefault="000844C5"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844C5">
              <w:rPr>
                <w:b/>
                <w:bCs/>
                <w:color w:val="FFFFFF" w:themeColor="background1"/>
              </w:rPr>
              <w:t>Notes</w:t>
            </w:r>
          </w:p>
        </w:tc>
      </w:tr>
      <w:tr w:rsidR="008D0607" w:rsidRPr="00357A61" w14:paraId="2252F46E"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61B0F7E2" w14:textId="2C63D950" w:rsidR="008D0607" w:rsidRPr="00357A61" w:rsidRDefault="008D0607" w:rsidP="008D0607">
            <w:pPr>
              <w:pStyle w:val="OICTable"/>
              <w:rPr>
                <w:b w:val="0"/>
                <w:bCs w:val="0"/>
              </w:rPr>
            </w:pPr>
            <w:r w:rsidRPr="00357A61">
              <w:rPr>
                <w:b w:val="0"/>
                <w:bCs w:val="0"/>
              </w:rPr>
              <w:t>Tuition fees for Higher Education or Further Education</w:t>
            </w:r>
            <w:r w:rsidR="003D484C">
              <w:rPr>
                <w:b w:val="0"/>
                <w:bCs w:val="0"/>
              </w:rPr>
              <w:t xml:space="preserve"> </w:t>
            </w:r>
          </w:p>
        </w:tc>
        <w:tc>
          <w:tcPr>
            <w:tcW w:w="5445" w:type="dxa"/>
          </w:tcPr>
          <w:p w14:paraId="0E4FB156" w14:textId="6391C273" w:rsidR="008D0607" w:rsidRPr="00357A61" w:rsidRDefault="008D0607" w:rsidP="007208DE">
            <w:pPr>
              <w:pStyle w:val="OICTable"/>
              <w:cnfStyle w:val="000000100000" w:firstRow="0" w:lastRow="0" w:firstColumn="0" w:lastColumn="0" w:oddVBand="0" w:evenVBand="0" w:oddHBand="1" w:evenHBand="0" w:firstRowFirstColumn="0" w:firstRowLastColumn="0" w:lastRowFirstColumn="0" w:lastRowLastColumn="0"/>
            </w:pPr>
            <w:r w:rsidRPr="00225B94">
              <w:t xml:space="preserve">These are usually funded by the Scottish Government. Young people should be supported to apply for this funding within the required timescales. Fees may be paid if the young person is not eligible for other funding or has good reason to study in another part of the United Kingdom. </w:t>
            </w:r>
          </w:p>
        </w:tc>
      </w:tr>
      <w:tr w:rsidR="004A30BA" w:rsidRPr="00357A61" w14:paraId="73D54B68"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6377DEAD" w14:textId="77777777" w:rsidR="008D0607" w:rsidRPr="00357A61" w:rsidRDefault="008D0607" w:rsidP="008D0607">
            <w:pPr>
              <w:pStyle w:val="OICTable"/>
              <w:rPr>
                <w:b w:val="0"/>
                <w:bCs w:val="0"/>
              </w:rPr>
            </w:pPr>
            <w:r w:rsidRPr="00357A61">
              <w:rPr>
                <w:b w:val="0"/>
                <w:bCs w:val="0"/>
              </w:rPr>
              <w:t>Fees for short courses to enhance employment opportunities</w:t>
            </w:r>
          </w:p>
        </w:tc>
        <w:tc>
          <w:tcPr>
            <w:tcW w:w="5445" w:type="dxa"/>
          </w:tcPr>
          <w:p w14:paraId="08A66DF7"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225B94">
              <w:t>Young people may be supported to undertake or maintain basic safety qualifications to enhance prospects of finding employment in sectors where this is customary. When young people are in employment employers should cover the cost of training.</w:t>
            </w:r>
          </w:p>
        </w:tc>
      </w:tr>
      <w:tr w:rsidR="004A30BA" w:rsidRPr="00357A61" w14:paraId="26CC0877"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58BADB34" w14:textId="77777777" w:rsidR="008D0607" w:rsidRPr="00357A61" w:rsidRDefault="008D0607" w:rsidP="008D0607">
            <w:pPr>
              <w:pStyle w:val="OICTable"/>
              <w:rPr>
                <w:b w:val="0"/>
                <w:bCs w:val="0"/>
              </w:rPr>
            </w:pPr>
            <w:r w:rsidRPr="00357A61">
              <w:rPr>
                <w:b w:val="0"/>
                <w:bCs w:val="0"/>
              </w:rPr>
              <w:t xml:space="preserve">Living costs for students studying out of Orkney </w:t>
            </w:r>
          </w:p>
        </w:tc>
        <w:tc>
          <w:tcPr>
            <w:tcW w:w="5445" w:type="dxa"/>
          </w:tcPr>
          <w:p w14:paraId="04A1E767" w14:textId="4A68A21F" w:rsidR="008D0607" w:rsidRDefault="008D0607" w:rsidP="00946A36">
            <w:pPr>
              <w:pStyle w:val="OICTable"/>
              <w:spacing w:after="120"/>
              <w:cnfStyle w:val="000000100000" w:firstRow="0" w:lastRow="0" w:firstColumn="0" w:lastColumn="0" w:oddVBand="0" w:evenVBand="0" w:oddHBand="1" w:evenHBand="0" w:firstRowFirstColumn="0" w:firstRowLastColumn="0" w:lastRowFirstColumn="0" w:lastRowLastColumn="0"/>
            </w:pPr>
            <w:r>
              <w:t>These are usually covered by the Care-Experienced Bursary but may be provided as a monthly allowance in circumstances when the young person is not eligible.</w:t>
            </w:r>
          </w:p>
          <w:p w14:paraId="52371922"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t>The cost of accommodation during vacation periods should be covered by the Care Experienced Vacation Grant/Summer Accommodation Grant.</w:t>
            </w:r>
          </w:p>
        </w:tc>
      </w:tr>
      <w:tr w:rsidR="004A30BA" w:rsidRPr="00357A61" w14:paraId="6F3BFB27"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7C6D9245" w14:textId="77777777" w:rsidR="008D0607" w:rsidRPr="00357A61" w:rsidRDefault="008D0607" w:rsidP="008D0607">
            <w:pPr>
              <w:pStyle w:val="OICTable"/>
              <w:rPr>
                <w:b w:val="0"/>
                <w:bCs w:val="0"/>
              </w:rPr>
            </w:pPr>
            <w:r w:rsidRPr="00357A61">
              <w:rPr>
                <w:b w:val="0"/>
                <w:bCs w:val="0"/>
              </w:rPr>
              <w:t>Travel to and from Orkney at start and end of term</w:t>
            </w:r>
          </w:p>
        </w:tc>
        <w:tc>
          <w:tcPr>
            <w:tcW w:w="5445" w:type="dxa"/>
          </w:tcPr>
          <w:p w14:paraId="1291677E"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t>Three</w:t>
            </w:r>
            <w:r w:rsidRPr="00225B94">
              <w:t xml:space="preserve"> return journeys per year and more as required to meet need as assessed necessary to maintain supportive relationships.</w:t>
            </w:r>
          </w:p>
        </w:tc>
      </w:tr>
      <w:tr w:rsidR="004A30BA" w:rsidRPr="00357A61" w14:paraId="370BAEE1"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6B1EF1B7" w14:textId="77777777" w:rsidR="008D0607" w:rsidRPr="00357A61" w:rsidRDefault="008D0607" w:rsidP="008D0607">
            <w:pPr>
              <w:pStyle w:val="OICTable"/>
              <w:rPr>
                <w:b w:val="0"/>
                <w:bCs w:val="0"/>
              </w:rPr>
            </w:pPr>
            <w:r w:rsidRPr="00357A61">
              <w:rPr>
                <w:b w:val="0"/>
                <w:bCs w:val="0"/>
              </w:rPr>
              <w:lastRenderedPageBreak/>
              <w:t>Living costs and rent for students living in Orkney</w:t>
            </w:r>
          </w:p>
        </w:tc>
        <w:tc>
          <w:tcPr>
            <w:tcW w:w="5445" w:type="dxa"/>
          </w:tcPr>
          <w:p w14:paraId="1D2BDEB6"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225B94">
              <w:t>These may be provided if the young person is not in Continuing Care and has no other means of support.</w:t>
            </w:r>
          </w:p>
        </w:tc>
      </w:tr>
      <w:tr w:rsidR="004A30BA" w:rsidRPr="00357A61" w14:paraId="492E02EF"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5640C182" w14:textId="77777777" w:rsidR="008D0607" w:rsidRPr="00357A61" w:rsidRDefault="008D0607" w:rsidP="008D0607">
            <w:pPr>
              <w:pStyle w:val="OICTable"/>
              <w:rPr>
                <w:b w:val="0"/>
                <w:bCs w:val="0"/>
              </w:rPr>
            </w:pPr>
            <w:r w:rsidRPr="00357A61">
              <w:rPr>
                <w:b w:val="0"/>
                <w:bCs w:val="0"/>
              </w:rPr>
              <w:t xml:space="preserve">Travel card for students living in Orkney needing to use public transport </w:t>
            </w:r>
          </w:p>
        </w:tc>
        <w:tc>
          <w:tcPr>
            <w:tcW w:w="5445" w:type="dxa"/>
          </w:tcPr>
          <w:p w14:paraId="0D4C74EB" w14:textId="17635ED5"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225B94">
              <w:t>To be provided where there is no other means of travel to access College or University provision.</w:t>
            </w:r>
            <w:r w:rsidR="003D484C">
              <w:t xml:space="preserve"> </w:t>
            </w:r>
            <w:r w:rsidR="00A76F29">
              <w:t xml:space="preserve">Travel for those under 22 is free via the </w:t>
            </w:r>
            <w:r w:rsidR="00B961C4">
              <w:t>Y</w:t>
            </w:r>
            <w:r w:rsidR="00A76F29">
              <w:t xml:space="preserve">oung Scot Card </w:t>
            </w:r>
          </w:p>
        </w:tc>
      </w:tr>
      <w:tr w:rsidR="004A30BA" w:rsidRPr="00357A61" w14:paraId="1C223D9A"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05336112" w14:textId="77777777" w:rsidR="008D0607" w:rsidRPr="00357A61" w:rsidRDefault="008D0607" w:rsidP="008D0607">
            <w:pPr>
              <w:pStyle w:val="OICTable"/>
              <w:rPr>
                <w:b w:val="0"/>
                <w:bCs w:val="0"/>
              </w:rPr>
            </w:pPr>
            <w:r w:rsidRPr="00357A61">
              <w:rPr>
                <w:b w:val="0"/>
                <w:bCs w:val="0"/>
              </w:rPr>
              <w:t xml:space="preserve">Books and essential course equipment </w:t>
            </w:r>
          </w:p>
        </w:tc>
        <w:tc>
          <w:tcPr>
            <w:tcW w:w="5445" w:type="dxa"/>
          </w:tcPr>
          <w:p w14:paraId="1F1FA5A4"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225B94">
              <w:t xml:space="preserve">These can be provided if they are identified as essential course pre-requisites. Books should be obtained from the library wherever possible. Up to date second </w:t>
            </w:r>
            <w:proofErr w:type="gramStart"/>
            <w:r w:rsidRPr="00225B94">
              <w:t>hand books</w:t>
            </w:r>
            <w:proofErr w:type="gramEnd"/>
            <w:r w:rsidRPr="00225B94">
              <w:t xml:space="preserve"> are acceptable.</w:t>
            </w:r>
          </w:p>
        </w:tc>
      </w:tr>
      <w:tr w:rsidR="004A30BA" w:rsidRPr="00357A61" w14:paraId="6E3C72E0"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68A1F92F" w14:textId="77777777" w:rsidR="008D0607" w:rsidRPr="00357A61" w:rsidRDefault="008D0607" w:rsidP="008D0607">
            <w:pPr>
              <w:pStyle w:val="OICTable"/>
              <w:rPr>
                <w:b w:val="0"/>
                <w:bCs w:val="0"/>
              </w:rPr>
            </w:pPr>
            <w:r w:rsidRPr="00357A61">
              <w:rPr>
                <w:b w:val="0"/>
                <w:bCs w:val="0"/>
              </w:rPr>
              <w:t xml:space="preserve">Laptop </w:t>
            </w:r>
          </w:p>
        </w:tc>
        <w:tc>
          <w:tcPr>
            <w:tcW w:w="5445" w:type="dxa"/>
          </w:tcPr>
          <w:p w14:paraId="28E181C7"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225B94">
              <w:t>If required to complete essential coursework or to maintain personal relationships.</w:t>
            </w:r>
          </w:p>
        </w:tc>
      </w:tr>
      <w:tr w:rsidR="004A30BA" w:rsidRPr="00357A61" w14:paraId="13FE4CEB"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200FF56F" w14:textId="77777777" w:rsidR="008D0607" w:rsidRPr="00357A61" w:rsidRDefault="008D0607" w:rsidP="008D0607">
            <w:pPr>
              <w:pStyle w:val="OICTable"/>
              <w:rPr>
                <w:b w:val="0"/>
                <w:bCs w:val="0"/>
              </w:rPr>
            </w:pPr>
            <w:r w:rsidRPr="00357A61">
              <w:rPr>
                <w:b w:val="0"/>
                <w:bCs w:val="0"/>
              </w:rPr>
              <w:t>Internet access for duration of course</w:t>
            </w:r>
          </w:p>
        </w:tc>
        <w:tc>
          <w:tcPr>
            <w:tcW w:w="5445" w:type="dxa"/>
          </w:tcPr>
          <w:p w14:paraId="1F47791F"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225B94">
              <w:t>If no other internet access is available. All circumstances of our young people should be considered when supporting their need for a laptop and internet connectivity.</w:t>
            </w:r>
          </w:p>
        </w:tc>
      </w:tr>
      <w:tr w:rsidR="004A30BA" w:rsidRPr="00357A61" w14:paraId="57F1D901"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3BE09279" w14:textId="24C6BDFC" w:rsidR="008D0607" w:rsidRPr="00225B94" w:rsidRDefault="008D0607" w:rsidP="008D0607">
            <w:pPr>
              <w:pStyle w:val="OICTable"/>
              <w:rPr>
                <w:b w:val="0"/>
                <w:bCs w:val="0"/>
              </w:rPr>
            </w:pPr>
            <w:r w:rsidRPr="00225B94">
              <w:rPr>
                <w:b w:val="0"/>
                <w:bCs w:val="0"/>
              </w:rPr>
              <w:t>Reasonable costs of travel and accommodation to attend University or College open days or interviews, accompanied by one staff member if appropriate</w:t>
            </w:r>
          </w:p>
          <w:p w14:paraId="315FF610" w14:textId="77777777" w:rsidR="008D0607" w:rsidRPr="00357A61" w:rsidRDefault="008D0607" w:rsidP="008D0607">
            <w:pPr>
              <w:pStyle w:val="OICTable"/>
            </w:pPr>
            <w:r w:rsidRPr="00225B94">
              <w:rPr>
                <w:b w:val="0"/>
                <w:bCs w:val="0"/>
              </w:rPr>
              <w:t>Allowance towards cost of appropriate clothing for interview based on current clothing costs comparisons</w:t>
            </w:r>
          </w:p>
        </w:tc>
        <w:tc>
          <w:tcPr>
            <w:tcW w:w="5445" w:type="dxa"/>
          </w:tcPr>
          <w:p w14:paraId="496F8FF0" w14:textId="119CDC6A"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225B94">
              <w:t>A UCAS referee or other education professional may be approached for advice about what visits would be reasonable and realistic.</w:t>
            </w:r>
          </w:p>
        </w:tc>
      </w:tr>
      <w:tr w:rsidR="008D0607" w:rsidRPr="00357A61" w14:paraId="70484095"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741EEE00" w14:textId="77777777" w:rsidR="008D0607" w:rsidRPr="00225B94" w:rsidRDefault="008D0607" w:rsidP="008D0607">
            <w:pPr>
              <w:pStyle w:val="OICTable"/>
              <w:rPr>
                <w:b w:val="0"/>
                <w:bCs w:val="0"/>
              </w:rPr>
            </w:pPr>
            <w:r w:rsidRPr="00225B94">
              <w:rPr>
                <w:b w:val="0"/>
                <w:bCs w:val="0"/>
              </w:rPr>
              <w:t>Suitable luggage for travel to and from University or College</w:t>
            </w:r>
          </w:p>
        </w:tc>
        <w:tc>
          <w:tcPr>
            <w:tcW w:w="5445" w:type="dxa"/>
          </w:tcPr>
          <w:p w14:paraId="619D72C1"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225B94">
              <w:t>Available if not already provided.</w:t>
            </w:r>
          </w:p>
        </w:tc>
      </w:tr>
      <w:tr w:rsidR="008D0607" w:rsidRPr="00357A61" w14:paraId="3F565861"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1EE2989B" w14:textId="77777777" w:rsidR="008D0607" w:rsidRPr="000844C5" w:rsidRDefault="008D0607" w:rsidP="008D0607">
            <w:pPr>
              <w:pStyle w:val="OICTable"/>
              <w:rPr>
                <w:color w:val="FFFFFF" w:themeColor="background1"/>
              </w:rPr>
            </w:pPr>
            <w:r w:rsidRPr="000844C5">
              <w:rPr>
                <w:color w:val="FFFFFF" w:themeColor="background1"/>
              </w:rPr>
              <w:t>Volunteer and work experience opportunities</w:t>
            </w:r>
          </w:p>
        </w:tc>
        <w:tc>
          <w:tcPr>
            <w:tcW w:w="5445" w:type="dxa"/>
            <w:shd w:val="clear" w:color="auto" w:fill="0070C0"/>
          </w:tcPr>
          <w:p w14:paraId="76052B2D" w14:textId="77777777" w:rsidR="008D0607" w:rsidRPr="000844C5"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8D0607" w:rsidRPr="00357A61" w14:paraId="3C256D4B"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6E8964F7" w14:textId="77777777" w:rsidR="008D0607" w:rsidRPr="00225B94" w:rsidRDefault="008D0607" w:rsidP="008D0607">
            <w:pPr>
              <w:pStyle w:val="OICTable"/>
              <w:rPr>
                <w:b w:val="0"/>
                <w:bCs w:val="0"/>
              </w:rPr>
            </w:pPr>
            <w:r w:rsidRPr="00225B94">
              <w:rPr>
                <w:b w:val="0"/>
                <w:bCs w:val="0"/>
              </w:rPr>
              <w:t>Travel and accommodation to facilitate participation in volunteering or work experience, where this would enhance education or career opportunities, or promote personal development</w:t>
            </w:r>
          </w:p>
        </w:tc>
        <w:tc>
          <w:tcPr>
            <w:tcW w:w="5445" w:type="dxa"/>
          </w:tcPr>
          <w:p w14:paraId="7A1C926E"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225B94">
              <w:t>Our young people will always be encouraged to volunteer or work with reputable organisations or employers. Where possible, expenses should be covered by the organisation, employer or by other grants or sponsorship. The young person will be given all necessary support to apply for and access any such provision where available.</w:t>
            </w:r>
          </w:p>
          <w:p w14:paraId="27F34EDE" w14:textId="77777777" w:rsidR="00BE1BA1" w:rsidRPr="00357A61" w:rsidRDefault="00BE1BA1" w:rsidP="008D0607">
            <w:pPr>
              <w:pStyle w:val="OICTable"/>
              <w:cnfStyle w:val="000000100000" w:firstRow="0" w:lastRow="0" w:firstColumn="0" w:lastColumn="0" w:oddVBand="0" w:evenVBand="0" w:oddHBand="1" w:evenHBand="0" w:firstRowFirstColumn="0" w:firstRowLastColumn="0" w:lastRowFirstColumn="0" w:lastRowLastColumn="0"/>
            </w:pPr>
          </w:p>
        </w:tc>
      </w:tr>
      <w:tr w:rsidR="008D0607" w:rsidRPr="00357A61" w14:paraId="68531694"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02DEBD80" w14:textId="77777777" w:rsidR="008D0607" w:rsidRPr="00225B94" w:rsidRDefault="008D0607" w:rsidP="008D0607">
            <w:pPr>
              <w:pStyle w:val="OICTable"/>
            </w:pPr>
            <w:r w:rsidRPr="000844C5">
              <w:rPr>
                <w:color w:val="FFFFFF" w:themeColor="background1"/>
              </w:rPr>
              <w:lastRenderedPageBreak/>
              <w:t>Employment Costs</w:t>
            </w:r>
          </w:p>
        </w:tc>
        <w:tc>
          <w:tcPr>
            <w:tcW w:w="5445" w:type="dxa"/>
            <w:shd w:val="clear" w:color="auto" w:fill="0070C0"/>
          </w:tcPr>
          <w:p w14:paraId="36189684" w14:textId="77777777" w:rsidR="008D0607" w:rsidRPr="00225B94" w:rsidRDefault="008D0607" w:rsidP="008D0607">
            <w:pPr>
              <w:pStyle w:val="OICTable"/>
              <w:cnfStyle w:val="000000000000" w:firstRow="0" w:lastRow="0" w:firstColumn="0" w:lastColumn="0" w:oddVBand="0" w:evenVBand="0" w:oddHBand="0" w:evenHBand="0" w:firstRowFirstColumn="0" w:firstRowLastColumn="0" w:lastRowFirstColumn="0" w:lastRowLastColumn="0"/>
            </w:pPr>
          </w:p>
        </w:tc>
      </w:tr>
      <w:tr w:rsidR="008D0607" w:rsidRPr="00357A61" w14:paraId="31BAE60F"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56960754" w14:textId="77777777" w:rsidR="008D0607" w:rsidRPr="00341832" w:rsidRDefault="008D0607" w:rsidP="008D0607">
            <w:pPr>
              <w:pStyle w:val="OICTable"/>
              <w:rPr>
                <w:b w:val="0"/>
                <w:bCs w:val="0"/>
              </w:rPr>
            </w:pPr>
            <w:r w:rsidRPr="00341832">
              <w:rPr>
                <w:b w:val="0"/>
                <w:bCs w:val="0"/>
              </w:rPr>
              <w:t>Allowance towards cost of appropriate clothing for interview based on current clothing costs comparisons</w:t>
            </w:r>
          </w:p>
        </w:tc>
        <w:tc>
          <w:tcPr>
            <w:tcW w:w="5445" w:type="dxa"/>
          </w:tcPr>
          <w:p w14:paraId="54A3FA01"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341832">
              <w:t>Young people shall be encouraged to identify their needs with a trusted social worker or support worker who will ensure their needs are properly identified and addressed like any good parent would do for their children.</w:t>
            </w:r>
          </w:p>
        </w:tc>
      </w:tr>
      <w:tr w:rsidR="004A30BA" w:rsidRPr="00357A61" w14:paraId="5DE6FC59"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6A18A44A" w14:textId="77777777" w:rsidR="008D0607" w:rsidRPr="00341832" w:rsidRDefault="008D0607" w:rsidP="008D0607">
            <w:pPr>
              <w:pStyle w:val="OICTable"/>
              <w:rPr>
                <w:b w:val="0"/>
                <w:bCs w:val="0"/>
              </w:rPr>
            </w:pPr>
            <w:r w:rsidRPr="00341832">
              <w:rPr>
                <w:b w:val="0"/>
                <w:bCs w:val="0"/>
              </w:rPr>
              <w:t>Travel to interview and accommodation as required</w:t>
            </w:r>
          </w:p>
        </w:tc>
        <w:tc>
          <w:tcPr>
            <w:tcW w:w="5445" w:type="dxa"/>
          </w:tcPr>
          <w:p w14:paraId="4E6398BA"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341832">
              <w:t>Employers should meet these costs where possible, and assistance may be required to make bookings in advance. Like all good parents, we shall support this as required to ensure our young people attend interviews.</w:t>
            </w:r>
          </w:p>
        </w:tc>
      </w:tr>
      <w:tr w:rsidR="008D0607" w:rsidRPr="00357A61" w14:paraId="5F5AB841"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016BC7F0" w14:textId="77777777" w:rsidR="008D0607" w:rsidRPr="00341832" w:rsidRDefault="008D0607" w:rsidP="008D0607">
            <w:pPr>
              <w:pStyle w:val="OICTable"/>
              <w:rPr>
                <w:b w:val="0"/>
                <w:bCs w:val="0"/>
              </w:rPr>
            </w:pPr>
            <w:r w:rsidRPr="00341832">
              <w:rPr>
                <w:b w:val="0"/>
                <w:bCs w:val="0"/>
              </w:rPr>
              <w:t>Other personal care provision as required</w:t>
            </w:r>
          </w:p>
        </w:tc>
        <w:tc>
          <w:tcPr>
            <w:tcW w:w="5445" w:type="dxa"/>
          </w:tcPr>
          <w:p w14:paraId="1EE2015B"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341832">
              <w:t>All needs shall be considered and addressed as required to ensure we continue to act as good parents and remove any barriers for our young people to access employment, work experience or volunteering opportunities.</w:t>
            </w:r>
          </w:p>
        </w:tc>
      </w:tr>
      <w:tr w:rsidR="008D0607" w:rsidRPr="00357A61" w14:paraId="64227033"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365B83CC" w14:textId="77777777" w:rsidR="008D0607" w:rsidRPr="00341832" w:rsidRDefault="008D0607" w:rsidP="008D0607">
            <w:pPr>
              <w:pStyle w:val="OICTable"/>
              <w:rPr>
                <w:b w:val="0"/>
                <w:bCs w:val="0"/>
              </w:rPr>
            </w:pPr>
            <w:r w:rsidRPr="00341832">
              <w:rPr>
                <w:b w:val="0"/>
                <w:bCs w:val="0"/>
              </w:rPr>
              <w:t>Clothing or equipment specific for employment, for example, safety footwear and clothing</w:t>
            </w:r>
          </w:p>
        </w:tc>
        <w:tc>
          <w:tcPr>
            <w:tcW w:w="5445" w:type="dxa"/>
          </w:tcPr>
          <w:p w14:paraId="6FDBF3BC"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341832">
              <w:t>Industries may provide this and where this is not the case, we shall ensure our young people have this provided if the industry standard is for individuals to provide their own.</w:t>
            </w:r>
          </w:p>
        </w:tc>
      </w:tr>
      <w:tr w:rsidR="008D0607" w:rsidRPr="00357A61" w14:paraId="44BE1E12"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18374CF1" w14:textId="77777777" w:rsidR="008D0607" w:rsidRPr="009D651C" w:rsidRDefault="008D0607" w:rsidP="008D0607">
            <w:pPr>
              <w:pStyle w:val="OICTable"/>
              <w:rPr>
                <w:color w:val="FFFFFF" w:themeColor="background1"/>
              </w:rPr>
            </w:pPr>
            <w:r w:rsidRPr="009D651C">
              <w:rPr>
                <w:color w:val="FFFFFF" w:themeColor="background1"/>
              </w:rPr>
              <w:t>Enrichment and sporting activities</w:t>
            </w:r>
          </w:p>
        </w:tc>
        <w:tc>
          <w:tcPr>
            <w:tcW w:w="5445" w:type="dxa"/>
            <w:shd w:val="clear" w:color="auto" w:fill="0070C0"/>
          </w:tcPr>
          <w:p w14:paraId="1C8F690F" w14:textId="77777777" w:rsidR="008D0607" w:rsidRPr="009D651C" w:rsidRDefault="008D0607" w:rsidP="008D0607">
            <w:pPr>
              <w:pStyle w:val="OICTable"/>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8D0607" w:rsidRPr="00357A61" w14:paraId="135D8BDC"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4C94662A" w14:textId="77777777" w:rsidR="008D0607" w:rsidRPr="00832B30" w:rsidRDefault="008D0607" w:rsidP="008D0607">
            <w:pPr>
              <w:pStyle w:val="OICTable"/>
              <w:rPr>
                <w:b w:val="0"/>
                <w:bCs w:val="0"/>
              </w:rPr>
            </w:pPr>
            <w:r w:rsidRPr="00832B30">
              <w:rPr>
                <w:b w:val="0"/>
                <w:bCs w:val="0"/>
              </w:rPr>
              <w:t>Travel and accommodation costs to facilitate participation in national or regional sport or cultural activities</w:t>
            </w:r>
          </w:p>
        </w:tc>
        <w:tc>
          <w:tcPr>
            <w:tcW w:w="5445" w:type="dxa"/>
          </w:tcPr>
          <w:p w14:paraId="742039FD"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832B30">
              <w:t>This will be provided when no other funding is available as participation provides opportunity for the young person to be active, achieving, respected, and included</w:t>
            </w:r>
            <w:r>
              <w:t xml:space="preserve"> (in line with the GIRFEC)</w:t>
            </w:r>
            <w:r w:rsidRPr="00832B30">
              <w:t>. All good parents should support this activity and participation of their children.</w:t>
            </w:r>
          </w:p>
        </w:tc>
      </w:tr>
      <w:tr w:rsidR="008D0607" w:rsidRPr="00357A61" w14:paraId="69274ED6"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06CB2E99" w14:textId="77777777" w:rsidR="008D0607" w:rsidRPr="00832B30" w:rsidRDefault="008D0607" w:rsidP="008D0607">
            <w:pPr>
              <w:pStyle w:val="OICTable"/>
              <w:rPr>
                <w:b w:val="0"/>
                <w:bCs w:val="0"/>
              </w:rPr>
            </w:pPr>
            <w:r w:rsidRPr="00832B30">
              <w:rPr>
                <w:b w:val="0"/>
                <w:bCs w:val="0"/>
              </w:rPr>
              <w:t>Specialised sports, musical or art equipment and materials</w:t>
            </w:r>
          </w:p>
        </w:tc>
        <w:tc>
          <w:tcPr>
            <w:tcW w:w="5445" w:type="dxa"/>
          </w:tcPr>
          <w:p w14:paraId="45B8745E"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832B30">
              <w:t>Financial assistance and assistance in kind, loan of instruments or tuition, will be provided when no other funding is available. Such participation provides opportunity for young people to be active, achieving, respected, and included, and should be supported like all good parents would do.</w:t>
            </w:r>
          </w:p>
          <w:p w14:paraId="36C5D168" w14:textId="77777777" w:rsidR="00BE1BA1" w:rsidRDefault="00BE1BA1" w:rsidP="008D0607">
            <w:pPr>
              <w:pStyle w:val="OICTable"/>
              <w:cnfStyle w:val="000000100000" w:firstRow="0" w:lastRow="0" w:firstColumn="0" w:lastColumn="0" w:oddVBand="0" w:evenVBand="0" w:oddHBand="1" w:evenHBand="0" w:firstRowFirstColumn="0" w:firstRowLastColumn="0" w:lastRowFirstColumn="0" w:lastRowLastColumn="0"/>
            </w:pPr>
          </w:p>
          <w:p w14:paraId="3BC7557C" w14:textId="77777777" w:rsidR="00BE1BA1" w:rsidRPr="00357A61" w:rsidRDefault="00BE1BA1" w:rsidP="008D0607">
            <w:pPr>
              <w:pStyle w:val="OICTable"/>
              <w:cnfStyle w:val="000000100000" w:firstRow="0" w:lastRow="0" w:firstColumn="0" w:lastColumn="0" w:oddVBand="0" w:evenVBand="0" w:oddHBand="1" w:evenHBand="0" w:firstRowFirstColumn="0" w:firstRowLastColumn="0" w:lastRowFirstColumn="0" w:lastRowLastColumn="0"/>
            </w:pPr>
          </w:p>
        </w:tc>
      </w:tr>
      <w:tr w:rsidR="008D0607" w:rsidRPr="00357A61" w14:paraId="6847C031"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24084AF3" w14:textId="77777777" w:rsidR="008D0607" w:rsidRPr="009D651C" w:rsidRDefault="008D0607" w:rsidP="008D0607">
            <w:pPr>
              <w:pStyle w:val="OICTable"/>
              <w:rPr>
                <w:color w:val="FFFFFF" w:themeColor="background1"/>
              </w:rPr>
            </w:pPr>
            <w:r w:rsidRPr="009D651C">
              <w:rPr>
                <w:color w:val="FFFFFF" w:themeColor="background1"/>
              </w:rPr>
              <w:lastRenderedPageBreak/>
              <w:t>Participation and engagement in national or civic life</w:t>
            </w:r>
          </w:p>
        </w:tc>
        <w:tc>
          <w:tcPr>
            <w:tcW w:w="5445" w:type="dxa"/>
            <w:shd w:val="clear" w:color="auto" w:fill="0070C0"/>
          </w:tcPr>
          <w:p w14:paraId="6D3012A2" w14:textId="77777777" w:rsidR="008D0607" w:rsidRPr="009D651C"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8D0607" w:rsidRPr="00357A61" w14:paraId="67EB9708"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23A51502" w14:textId="77777777" w:rsidR="008D0607" w:rsidRPr="00832B30" w:rsidRDefault="008D0607" w:rsidP="008D0607">
            <w:pPr>
              <w:pStyle w:val="OICTable"/>
              <w:rPr>
                <w:b w:val="0"/>
                <w:bCs w:val="0"/>
              </w:rPr>
            </w:pPr>
            <w:r w:rsidRPr="00832B30">
              <w:rPr>
                <w:b w:val="0"/>
                <w:bCs w:val="0"/>
              </w:rPr>
              <w:t>Travel and accommodation costs to facilitate participation in national or civic engagement or consultation events</w:t>
            </w:r>
          </w:p>
        </w:tc>
        <w:tc>
          <w:tcPr>
            <w:tcW w:w="5445" w:type="dxa"/>
          </w:tcPr>
          <w:p w14:paraId="0F23B536"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832B30">
              <w:t>Expenses should be covered by organisers but can be provided if this is not possible.</w:t>
            </w:r>
          </w:p>
        </w:tc>
      </w:tr>
      <w:tr w:rsidR="008D0607" w:rsidRPr="00357A61" w14:paraId="5C8775AC"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540DF382" w14:textId="77777777" w:rsidR="008D0607" w:rsidRPr="009D651C" w:rsidRDefault="008D0607" w:rsidP="008D0607">
            <w:pPr>
              <w:pStyle w:val="OICTable"/>
              <w:rPr>
                <w:color w:val="FFFFFF" w:themeColor="background1"/>
              </w:rPr>
            </w:pPr>
            <w:r w:rsidRPr="009D651C">
              <w:rPr>
                <w:color w:val="FFFFFF" w:themeColor="background1"/>
              </w:rPr>
              <w:t>Inclusion and Identity</w:t>
            </w:r>
          </w:p>
        </w:tc>
        <w:tc>
          <w:tcPr>
            <w:tcW w:w="5445" w:type="dxa"/>
            <w:shd w:val="clear" w:color="auto" w:fill="0070C0"/>
          </w:tcPr>
          <w:p w14:paraId="3643A7C1" w14:textId="77777777" w:rsidR="008D0607" w:rsidRPr="009D651C"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8D0607" w:rsidRPr="00357A61" w14:paraId="08B52E01"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53BA2A2A" w14:textId="77777777" w:rsidR="008D0607" w:rsidRPr="00832B30" w:rsidRDefault="008D0607" w:rsidP="008D0607">
            <w:pPr>
              <w:pStyle w:val="OICTable"/>
              <w:rPr>
                <w:b w:val="0"/>
                <w:bCs w:val="0"/>
              </w:rPr>
            </w:pPr>
            <w:r w:rsidRPr="00832B30">
              <w:rPr>
                <w:b w:val="0"/>
                <w:bCs w:val="0"/>
              </w:rPr>
              <w:t>Assembling key documents and obtaining passport</w:t>
            </w:r>
          </w:p>
        </w:tc>
        <w:tc>
          <w:tcPr>
            <w:tcW w:w="5445" w:type="dxa"/>
          </w:tcPr>
          <w:p w14:paraId="27F06F91"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Assistance will be provided to ensure our young people obtain standard documentation for identity purposes. For example, birth certificate, adoption information, National Insurance number, passport, Young Scot card, and ADS registration.</w:t>
            </w:r>
          </w:p>
          <w:p w14:paraId="436EB226"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t>Standard fees and photographs to be provided as required like all good parents.</w:t>
            </w:r>
          </w:p>
        </w:tc>
      </w:tr>
      <w:tr w:rsidR="008D0607" w:rsidRPr="00357A61" w14:paraId="36373B24"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29B299CE" w14:textId="77777777" w:rsidR="008D0607" w:rsidRPr="00832B30" w:rsidRDefault="008D0607" w:rsidP="008D0607">
            <w:pPr>
              <w:pStyle w:val="OICTable"/>
              <w:rPr>
                <w:b w:val="0"/>
                <w:bCs w:val="0"/>
              </w:rPr>
            </w:pPr>
            <w:r w:rsidRPr="00832B30">
              <w:rPr>
                <w:b w:val="0"/>
                <w:bCs w:val="0"/>
              </w:rPr>
              <w:t>Name change process</w:t>
            </w:r>
          </w:p>
        </w:tc>
        <w:tc>
          <w:tcPr>
            <w:tcW w:w="5445" w:type="dxa"/>
          </w:tcPr>
          <w:p w14:paraId="43C34B94" w14:textId="7595337A"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832B30">
              <w:t>This requires careful support and exploration with our young people to ensure it supports their emotional and identity needs.</w:t>
            </w:r>
            <w:r w:rsidR="003D484C">
              <w:t xml:space="preserve"> </w:t>
            </w:r>
            <w:r w:rsidRPr="00832B30">
              <w:t>Financial support might include legal advice and fees as required.</w:t>
            </w:r>
          </w:p>
        </w:tc>
      </w:tr>
      <w:tr w:rsidR="008D0607" w:rsidRPr="00357A61" w14:paraId="7D75E7E6"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7FE4ADC4" w14:textId="77777777" w:rsidR="008D0607" w:rsidRPr="00832B30" w:rsidRDefault="008D0607" w:rsidP="008D0607">
            <w:pPr>
              <w:pStyle w:val="OICTable"/>
              <w:rPr>
                <w:b w:val="0"/>
                <w:bCs w:val="0"/>
              </w:rPr>
            </w:pPr>
            <w:r w:rsidRPr="00832B30">
              <w:rPr>
                <w:b w:val="0"/>
                <w:bCs w:val="0"/>
              </w:rPr>
              <w:t>Learning to drive</w:t>
            </w:r>
          </w:p>
        </w:tc>
        <w:tc>
          <w:tcPr>
            <w:tcW w:w="5445" w:type="dxa"/>
          </w:tcPr>
          <w:p w14:paraId="02EB224E"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Our young people can be offered this including costs for:</w:t>
            </w:r>
          </w:p>
          <w:p w14:paraId="118FC59B" w14:textId="35603D56"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A provisional licence</w:t>
            </w:r>
            <w:r w:rsidR="007208DE">
              <w:t>.</w:t>
            </w:r>
          </w:p>
          <w:p w14:paraId="539C98C9" w14:textId="3ED3FC82"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Theory tests</w:t>
            </w:r>
            <w:r w:rsidR="007208DE">
              <w:t>.</w:t>
            </w:r>
          </w:p>
          <w:p w14:paraId="399E40D2" w14:textId="1A176FCD"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Driving lessons</w:t>
            </w:r>
            <w:r w:rsidR="007208DE">
              <w:t>.</w:t>
            </w:r>
          </w:p>
          <w:p w14:paraId="5DD57051" w14:textId="06A8E7CE"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Driving test and instructor time.</w:t>
            </w:r>
          </w:p>
          <w:p w14:paraId="6042CB16"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t>Like any good parent, where there are opportunities of other funding available, these will be fully explored with our young people.</w:t>
            </w:r>
          </w:p>
        </w:tc>
      </w:tr>
      <w:tr w:rsidR="008D0607" w:rsidRPr="00357A61" w14:paraId="030BD3F3"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2F4E6BC0" w14:textId="77777777" w:rsidR="008D0607" w:rsidRPr="009D651C" w:rsidRDefault="008D0607" w:rsidP="008D0607">
            <w:pPr>
              <w:pStyle w:val="OICTable"/>
              <w:rPr>
                <w:color w:val="FFFFFF" w:themeColor="background1"/>
              </w:rPr>
            </w:pPr>
            <w:r w:rsidRPr="009D651C">
              <w:rPr>
                <w:color w:val="FFFFFF" w:themeColor="background1"/>
              </w:rPr>
              <w:t>Young Parents</w:t>
            </w:r>
          </w:p>
        </w:tc>
        <w:tc>
          <w:tcPr>
            <w:tcW w:w="5445" w:type="dxa"/>
            <w:shd w:val="clear" w:color="auto" w:fill="0070C0"/>
          </w:tcPr>
          <w:p w14:paraId="6E886EB4" w14:textId="77777777" w:rsidR="008D0607" w:rsidRPr="009D651C"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8D0607" w:rsidRPr="00357A61" w14:paraId="31CD50A7"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77CEBBC2" w14:textId="77777777" w:rsidR="008D0607" w:rsidRPr="00832B30" w:rsidRDefault="008D0607" w:rsidP="008D0607">
            <w:pPr>
              <w:pStyle w:val="OICTable"/>
              <w:rPr>
                <w:b w:val="0"/>
                <w:bCs w:val="0"/>
              </w:rPr>
            </w:pPr>
            <w:r w:rsidRPr="00832B30">
              <w:rPr>
                <w:b w:val="0"/>
                <w:bCs w:val="0"/>
              </w:rPr>
              <w:t>Supporting young parents</w:t>
            </w:r>
          </w:p>
        </w:tc>
        <w:tc>
          <w:tcPr>
            <w:tcW w:w="5445" w:type="dxa"/>
          </w:tcPr>
          <w:p w14:paraId="5106014E"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Young parents will be supported to access universal benefits, resources, and maternity services. We shall ensure, like any good parent, we provide required financial assistance including:</w:t>
            </w:r>
          </w:p>
          <w:p w14:paraId="65B09B34" w14:textId="58D8A055"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Maternity clothes</w:t>
            </w:r>
            <w:r w:rsidR="007208DE">
              <w:t>.</w:t>
            </w:r>
          </w:p>
          <w:p w14:paraId="433F094F" w14:textId="5004817B" w:rsidR="008D0607" w:rsidRDefault="008D0607" w:rsidP="007208DE">
            <w:pPr>
              <w:pStyle w:val="ListParagraph"/>
              <w:ind w:left="421" w:hanging="283"/>
              <w:cnfStyle w:val="000000100000" w:firstRow="0" w:lastRow="0" w:firstColumn="0" w:lastColumn="0" w:oddVBand="0" w:evenVBand="0" w:oddHBand="1" w:evenHBand="0" w:firstRowFirstColumn="0" w:firstRowLastColumn="0" w:lastRowFirstColumn="0" w:lastRowLastColumn="0"/>
            </w:pPr>
            <w:r>
              <w:t>Baby equipment and furniture</w:t>
            </w:r>
            <w:r w:rsidR="007208DE">
              <w:t>.</w:t>
            </w:r>
          </w:p>
          <w:p w14:paraId="2AEF1A36" w14:textId="2AEFA055" w:rsidR="008D0607" w:rsidRPr="00357A61"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lastRenderedPageBreak/>
              <w:t xml:space="preserve">Childcare costs or assistance in kind, to enable the young person to complete a course, training, education, or work experience. </w:t>
            </w:r>
          </w:p>
        </w:tc>
      </w:tr>
      <w:tr w:rsidR="008D0607" w:rsidRPr="00357A61" w14:paraId="7E7FF1FD"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2C9BD1A3" w14:textId="77777777" w:rsidR="008D0607" w:rsidRPr="009D651C" w:rsidRDefault="008D0607" w:rsidP="008D0607">
            <w:pPr>
              <w:pStyle w:val="OICTable"/>
              <w:rPr>
                <w:color w:val="FFFFFF" w:themeColor="background1"/>
              </w:rPr>
            </w:pPr>
            <w:r w:rsidRPr="009D651C">
              <w:rPr>
                <w:color w:val="FFFFFF" w:themeColor="background1"/>
              </w:rPr>
              <w:lastRenderedPageBreak/>
              <w:t>Health and Personal Needs</w:t>
            </w:r>
          </w:p>
        </w:tc>
        <w:tc>
          <w:tcPr>
            <w:tcW w:w="5445" w:type="dxa"/>
            <w:shd w:val="clear" w:color="auto" w:fill="0070C0"/>
          </w:tcPr>
          <w:p w14:paraId="70C6322E" w14:textId="77777777" w:rsidR="008D0607" w:rsidRPr="009D651C"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D651C">
              <w:rPr>
                <w:b/>
                <w:bCs/>
                <w:color w:val="FFFFFF" w:themeColor="background1"/>
              </w:rPr>
              <w:t>After Exploration with NHS Staff Locally</w:t>
            </w:r>
          </w:p>
        </w:tc>
      </w:tr>
      <w:tr w:rsidR="008D0607" w:rsidRPr="00357A61" w14:paraId="126AB1AB"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0D736AAE" w14:textId="77777777" w:rsidR="008D0607" w:rsidRPr="00D94C01" w:rsidRDefault="008D0607" w:rsidP="008D0607">
            <w:pPr>
              <w:pStyle w:val="OICTable"/>
              <w:rPr>
                <w:b w:val="0"/>
                <w:bCs w:val="0"/>
              </w:rPr>
            </w:pPr>
            <w:r w:rsidRPr="00D94C01">
              <w:rPr>
                <w:b w:val="0"/>
                <w:bCs w:val="0"/>
              </w:rPr>
              <w:t>Health needs not covered by NHS</w:t>
            </w:r>
          </w:p>
        </w:tc>
        <w:tc>
          <w:tcPr>
            <w:tcW w:w="5445" w:type="dxa"/>
          </w:tcPr>
          <w:p w14:paraId="1FD03AC1"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D94C01">
              <w:t>This could cover costs of Allied Health Services such as physiotherapy, therapeutic or counselling services to meet identified need.</w:t>
            </w:r>
          </w:p>
        </w:tc>
      </w:tr>
      <w:tr w:rsidR="008D0607" w:rsidRPr="00357A61" w14:paraId="03C1FBC2"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222E9F66" w14:textId="77777777" w:rsidR="008D0607" w:rsidRPr="00D94C01" w:rsidRDefault="008D0607" w:rsidP="008D0607">
            <w:pPr>
              <w:pStyle w:val="OICTable"/>
              <w:rPr>
                <w:b w:val="0"/>
                <w:bCs w:val="0"/>
              </w:rPr>
            </w:pPr>
            <w:r w:rsidRPr="00D94C01">
              <w:rPr>
                <w:b w:val="0"/>
                <w:bCs w:val="0"/>
              </w:rPr>
              <w:t xml:space="preserve">Glasses, contact lenses not covered by NHS </w:t>
            </w:r>
          </w:p>
        </w:tc>
        <w:tc>
          <w:tcPr>
            <w:tcW w:w="5445" w:type="dxa"/>
          </w:tcPr>
          <w:p w14:paraId="71A5E152"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D94C01">
              <w:t>These costs may be covered on the recommendation of an optometrist.</w:t>
            </w:r>
          </w:p>
        </w:tc>
      </w:tr>
      <w:tr w:rsidR="008D0607" w:rsidRPr="00357A61" w14:paraId="29573A0A"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43E3E36B" w14:textId="77777777" w:rsidR="008D0607" w:rsidRPr="00D94C01" w:rsidRDefault="008D0607" w:rsidP="008D0607">
            <w:pPr>
              <w:pStyle w:val="OICTable"/>
              <w:rPr>
                <w:b w:val="0"/>
                <w:bCs w:val="0"/>
              </w:rPr>
            </w:pPr>
            <w:r w:rsidRPr="00D94C01">
              <w:rPr>
                <w:b w:val="0"/>
                <w:bCs w:val="0"/>
              </w:rPr>
              <w:t>Essential dental treatment not covered by NHS</w:t>
            </w:r>
          </w:p>
        </w:tc>
        <w:tc>
          <w:tcPr>
            <w:tcW w:w="5445" w:type="dxa"/>
          </w:tcPr>
          <w:p w14:paraId="18986494"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D94C01">
              <w:t>Restorative treatment to mitigate the impact of trauma and neglect can be provided on the recommendation of a registered dental practitioner.</w:t>
            </w:r>
          </w:p>
        </w:tc>
      </w:tr>
      <w:tr w:rsidR="008D0607" w:rsidRPr="00357A61" w14:paraId="35E6816B"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125A54EC" w14:textId="77777777" w:rsidR="008D0607" w:rsidRPr="00D94C01" w:rsidRDefault="008D0607" w:rsidP="008D0607">
            <w:pPr>
              <w:pStyle w:val="OICTable"/>
              <w:rPr>
                <w:b w:val="0"/>
                <w:bCs w:val="0"/>
              </w:rPr>
            </w:pPr>
            <w:r w:rsidRPr="00D94C01">
              <w:rPr>
                <w:b w:val="0"/>
                <w:bCs w:val="0"/>
              </w:rPr>
              <w:t>Travel to visit family members or to maintain meaningful relationships</w:t>
            </w:r>
          </w:p>
        </w:tc>
        <w:tc>
          <w:tcPr>
            <w:tcW w:w="5445" w:type="dxa"/>
          </w:tcPr>
          <w:p w14:paraId="2E78998F" w14:textId="77777777" w:rsidR="008D0607" w:rsidRDefault="008D0607" w:rsidP="008D0607">
            <w:pPr>
              <w:pStyle w:val="OICTable"/>
              <w:cnfStyle w:val="000000000000" w:firstRow="0" w:lastRow="0" w:firstColumn="0" w:lastColumn="0" w:oddVBand="0" w:evenVBand="0" w:oddHBand="0" w:evenHBand="0" w:firstRowFirstColumn="0" w:firstRowLastColumn="0" w:lastRowFirstColumn="0" w:lastRowLastColumn="0"/>
            </w:pPr>
            <w:r>
              <w:t>This will be agreed as part of the ‘Pathways Plan’ and destination, frequency of visits, suitability of accommodation agreed with the social worker.</w:t>
            </w:r>
          </w:p>
          <w:p w14:paraId="35E88FEF"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t>In emergency situations this shall be provided based on need.</w:t>
            </w:r>
          </w:p>
        </w:tc>
      </w:tr>
      <w:tr w:rsidR="008D0607" w:rsidRPr="00357A61" w14:paraId="46DA646F"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66FFA52F" w14:textId="77777777" w:rsidR="008D0607" w:rsidRPr="00D94C01" w:rsidRDefault="008D0607" w:rsidP="008D0607">
            <w:pPr>
              <w:pStyle w:val="OICTable"/>
              <w:rPr>
                <w:b w:val="0"/>
                <w:bCs w:val="0"/>
              </w:rPr>
            </w:pPr>
            <w:r w:rsidRPr="00D94C01">
              <w:rPr>
                <w:b w:val="0"/>
                <w:bCs w:val="0"/>
              </w:rPr>
              <w:t>Death of close family member or ‘special’ people</w:t>
            </w:r>
          </w:p>
        </w:tc>
        <w:tc>
          <w:tcPr>
            <w:tcW w:w="5445" w:type="dxa"/>
          </w:tcPr>
          <w:p w14:paraId="1E97037B" w14:textId="22E4D595"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 xml:space="preserve">Practical and emotional support like all good parents in a responsive, sensitive, and timely way. The following costs amongst others can be covered: </w:t>
            </w:r>
          </w:p>
          <w:p w14:paraId="226D4274" w14:textId="686928E9"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Travel to funeral and accommodation as required</w:t>
            </w:r>
            <w:r w:rsidR="00D41F25">
              <w:t>.</w:t>
            </w:r>
          </w:p>
          <w:p w14:paraId="549B1B87" w14:textId="0BC33385"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Suitable clothing as required</w:t>
            </w:r>
            <w:r w:rsidR="00D41F25">
              <w:t>.</w:t>
            </w:r>
          </w:p>
          <w:p w14:paraId="5D7BFD82" w14:textId="5A9C2053"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Flowers for funeral</w:t>
            </w:r>
            <w:r w:rsidR="00D41F25">
              <w:t>.</w:t>
            </w:r>
          </w:p>
          <w:p w14:paraId="7507C9EC"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t>This situation can be managed as an ‘emergency’ for payment purposes (see section 7).</w:t>
            </w:r>
          </w:p>
        </w:tc>
      </w:tr>
      <w:tr w:rsidR="008D0607" w:rsidRPr="00357A61" w14:paraId="51C9583C"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434BE059" w14:textId="77777777" w:rsidR="008D0607" w:rsidRPr="000E47A0" w:rsidRDefault="008D0607" w:rsidP="008D0607">
            <w:pPr>
              <w:pStyle w:val="OICTable"/>
              <w:rPr>
                <w:b w:val="0"/>
                <w:bCs w:val="0"/>
              </w:rPr>
            </w:pPr>
            <w:r w:rsidRPr="000E47A0">
              <w:rPr>
                <w:b w:val="0"/>
                <w:bCs w:val="0"/>
              </w:rPr>
              <w:t>Hospitalisation or imprisonment essential care needs</w:t>
            </w:r>
          </w:p>
        </w:tc>
        <w:tc>
          <w:tcPr>
            <w:tcW w:w="5445" w:type="dxa"/>
          </w:tcPr>
          <w:p w14:paraId="0B6D503B" w14:textId="77777777" w:rsidR="008D0607"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0E47A0">
              <w:t>In circumstances when a good parent would intervene and the young person has no other resources, up to £10 per week (more if required on identification of specific need and budget provision) may be allowed for the purchase of personal comfort items.</w:t>
            </w:r>
          </w:p>
          <w:p w14:paraId="50EA90FF" w14:textId="77777777" w:rsidR="00BE1BA1" w:rsidRPr="00357A61" w:rsidRDefault="00BE1BA1" w:rsidP="008D0607">
            <w:pPr>
              <w:pStyle w:val="OICTable"/>
              <w:cnfStyle w:val="000000000000" w:firstRow="0" w:lastRow="0" w:firstColumn="0" w:lastColumn="0" w:oddVBand="0" w:evenVBand="0" w:oddHBand="0" w:evenHBand="0" w:firstRowFirstColumn="0" w:firstRowLastColumn="0" w:lastRowFirstColumn="0" w:lastRowLastColumn="0"/>
            </w:pPr>
          </w:p>
        </w:tc>
      </w:tr>
      <w:tr w:rsidR="008D0607" w:rsidRPr="00357A61" w14:paraId="143EF7AF"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344AC838" w14:textId="77777777" w:rsidR="008D0607" w:rsidRPr="009D651C" w:rsidRDefault="008D0607" w:rsidP="008D0607">
            <w:pPr>
              <w:pStyle w:val="OICTable"/>
              <w:rPr>
                <w:color w:val="FFFFFF" w:themeColor="background1"/>
              </w:rPr>
            </w:pPr>
            <w:r w:rsidRPr="009D651C">
              <w:rPr>
                <w:color w:val="FFFFFF" w:themeColor="background1"/>
              </w:rPr>
              <w:lastRenderedPageBreak/>
              <w:t>Fuel</w:t>
            </w:r>
          </w:p>
        </w:tc>
        <w:tc>
          <w:tcPr>
            <w:tcW w:w="5445" w:type="dxa"/>
            <w:shd w:val="clear" w:color="auto" w:fill="0070C0"/>
          </w:tcPr>
          <w:p w14:paraId="33EFDEB1" w14:textId="77777777" w:rsidR="008D0607" w:rsidRPr="009D651C" w:rsidRDefault="008D0607" w:rsidP="008D0607">
            <w:pPr>
              <w:pStyle w:val="OICTable"/>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8D0607" w:rsidRPr="00357A61" w14:paraId="3B58032C"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4EB09DB6" w14:textId="77777777" w:rsidR="008D0607" w:rsidRPr="000E47A0" w:rsidRDefault="008D0607" w:rsidP="008D0607">
            <w:pPr>
              <w:pStyle w:val="OICTable"/>
              <w:rPr>
                <w:b w:val="0"/>
                <w:bCs w:val="0"/>
              </w:rPr>
            </w:pPr>
            <w:r w:rsidRPr="000E47A0">
              <w:rPr>
                <w:b w:val="0"/>
                <w:bCs w:val="0"/>
              </w:rPr>
              <w:t>Winter heating allowance</w:t>
            </w:r>
          </w:p>
        </w:tc>
        <w:tc>
          <w:tcPr>
            <w:tcW w:w="5445" w:type="dxa"/>
          </w:tcPr>
          <w:p w14:paraId="689F1E3D" w14:textId="3290F408" w:rsidR="008D0607" w:rsidRPr="000E47A0" w:rsidRDefault="008D0607" w:rsidP="008D0607">
            <w:pPr>
              <w:pStyle w:val="OICTable"/>
              <w:cnfStyle w:val="000000000000" w:firstRow="0" w:lastRow="0" w:firstColumn="0" w:lastColumn="0" w:oddVBand="0" w:evenVBand="0" w:oddHBand="0" w:evenHBand="0" w:firstRowFirstColumn="0" w:firstRowLastColumn="0" w:lastRowFirstColumn="0" w:lastRowLastColumn="0"/>
            </w:pPr>
            <w:r>
              <w:t xml:space="preserve">Up to </w:t>
            </w:r>
            <w:r w:rsidRPr="009D59CB">
              <w:t>£</w:t>
            </w:r>
            <w:r>
              <w:t>30</w:t>
            </w:r>
            <w:r w:rsidRPr="009D59CB">
              <w:t>.00</w:t>
            </w:r>
            <w:r>
              <w:t xml:space="preserve"> per</w:t>
            </w:r>
            <w:r w:rsidRPr="009D59CB">
              <w:t xml:space="preserve"> month from October</w:t>
            </w:r>
            <w:r w:rsidR="00D41F25">
              <w:t xml:space="preserve"> </w:t>
            </w:r>
            <w:r w:rsidRPr="009D59CB">
              <w:t xml:space="preserve">- March can be provided (subject of arrangements for inflationary uplift) if no other schemes for assistance are available. </w:t>
            </w:r>
          </w:p>
        </w:tc>
      </w:tr>
      <w:tr w:rsidR="008D0607" w:rsidRPr="00357A61" w14:paraId="710703F3"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3A7E6FDF" w14:textId="77777777" w:rsidR="008D0607" w:rsidRPr="000E47A0" w:rsidRDefault="008D0607" w:rsidP="008D0607">
            <w:pPr>
              <w:pStyle w:val="OICTable"/>
              <w:rPr>
                <w:b w:val="0"/>
                <w:bCs w:val="0"/>
              </w:rPr>
            </w:pPr>
            <w:r w:rsidRPr="000E47A0">
              <w:rPr>
                <w:b w:val="0"/>
                <w:bCs w:val="0"/>
              </w:rPr>
              <w:t>Emergency payments for electricity</w:t>
            </w:r>
          </w:p>
        </w:tc>
        <w:tc>
          <w:tcPr>
            <w:tcW w:w="5445" w:type="dxa"/>
          </w:tcPr>
          <w:p w14:paraId="1F96A364" w14:textId="77777777" w:rsidR="008D0607" w:rsidRPr="000E47A0"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9D59CB">
              <w:t>Assistance can be provided in emergencies (e.g. benefit gap) and in the context of offering budget advice (either directly or via partner agencies) as required. Required support will be assessed based on need, and assistance will be sensitive, non-discriminatory and “parent child” relationship based like any good parent supporting their child in such circumstances.</w:t>
            </w:r>
          </w:p>
        </w:tc>
      </w:tr>
      <w:tr w:rsidR="008D0607" w:rsidRPr="00357A61" w14:paraId="56636C5F"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352F6C33" w14:textId="77777777" w:rsidR="008D0607" w:rsidRPr="000E47A0" w:rsidRDefault="008D0607" w:rsidP="008D0607">
            <w:pPr>
              <w:pStyle w:val="OICTable"/>
              <w:rPr>
                <w:b w:val="0"/>
                <w:bCs w:val="0"/>
              </w:rPr>
            </w:pPr>
            <w:r w:rsidRPr="000E47A0">
              <w:rPr>
                <w:b w:val="0"/>
                <w:bCs w:val="0"/>
              </w:rPr>
              <w:t>Winter clothing</w:t>
            </w:r>
          </w:p>
        </w:tc>
        <w:tc>
          <w:tcPr>
            <w:tcW w:w="5445" w:type="dxa"/>
          </w:tcPr>
          <w:p w14:paraId="7756C228" w14:textId="77777777" w:rsidR="008D0607" w:rsidRPr="000E47A0"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9D59CB">
              <w:t>A grant of up to £160 (subject of annual uplift arrangements) can be paid for essential winter clothing.</w:t>
            </w:r>
          </w:p>
        </w:tc>
      </w:tr>
      <w:tr w:rsidR="008D0607" w:rsidRPr="00357A61" w14:paraId="4BC29999"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3F414B75" w14:textId="77777777" w:rsidR="008D0607" w:rsidRPr="009D651C" w:rsidRDefault="008D0607" w:rsidP="008D0607">
            <w:pPr>
              <w:pStyle w:val="OICTable"/>
              <w:rPr>
                <w:color w:val="FFFFFF" w:themeColor="background1"/>
              </w:rPr>
            </w:pPr>
            <w:r w:rsidRPr="009D651C">
              <w:rPr>
                <w:color w:val="FFFFFF" w:themeColor="background1"/>
              </w:rPr>
              <w:t>Celebrations</w:t>
            </w:r>
          </w:p>
        </w:tc>
        <w:tc>
          <w:tcPr>
            <w:tcW w:w="5445" w:type="dxa"/>
            <w:shd w:val="clear" w:color="auto" w:fill="0070C0"/>
          </w:tcPr>
          <w:p w14:paraId="46F8A444" w14:textId="77777777" w:rsidR="008D0607" w:rsidRPr="009D651C" w:rsidRDefault="008D0607" w:rsidP="008D0607">
            <w:pPr>
              <w:pStyle w:val="OICTable"/>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8D0607" w:rsidRPr="00357A61" w14:paraId="33BB3EEF"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038B54B5" w14:textId="77777777" w:rsidR="008D0607" w:rsidRPr="000E47A0" w:rsidRDefault="008D0607" w:rsidP="008D0607">
            <w:pPr>
              <w:pStyle w:val="OICTable"/>
              <w:rPr>
                <w:b w:val="0"/>
                <w:bCs w:val="0"/>
              </w:rPr>
            </w:pPr>
            <w:r w:rsidRPr="000E47A0">
              <w:rPr>
                <w:b w:val="0"/>
                <w:bCs w:val="0"/>
              </w:rPr>
              <w:t>Birthday gift</w:t>
            </w:r>
          </w:p>
        </w:tc>
        <w:tc>
          <w:tcPr>
            <w:tcW w:w="5445" w:type="dxa"/>
          </w:tcPr>
          <w:p w14:paraId="133D5A3B"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0E47A0">
              <w:t>This can be arranged to promote emotional wellbeing and support engagement with the service. Value up to £50 (subject of inflationary uplift arrangements and price comparisons).</w:t>
            </w:r>
          </w:p>
        </w:tc>
      </w:tr>
      <w:tr w:rsidR="008D0607" w:rsidRPr="00357A61" w14:paraId="4E497EE2"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316A24D3" w14:textId="77777777" w:rsidR="008D0607" w:rsidRPr="000E47A0" w:rsidRDefault="008D0607" w:rsidP="008D0607">
            <w:pPr>
              <w:pStyle w:val="OICTable"/>
              <w:rPr>
                <w:b w:val="0"/>
                <w:bCs w:val="0"/>
              </w:rPr>
            </w:pPr>
            <w:r w:rsidRPr="000E47A0">
              <w:rPr>
                <w:b w:val="0"/>
                <w:bCs w:val="0"/>
              </w:rPr>
              <w:t xml:space="preserve">Celebratory event for 18th and 21st birthday with a member of staff </w:t>
            </w:r>
          </w:p>
        </w:tc>
        <w:tc>
          <w:tcPr>
            <w:tcW w:w="5445" w:type="dxa"/>
          </w:tcPr>
          <w:p w14:paraId="50138FDD"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Discretionary, to promote emotional wellbeing, model social norms or maintain meaningful engagement with the service.</w:t>
            </w:r>
          </w:p>
          <w:p w14:paraId="1982E9A1"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t xml:space="preserve">Restaurant visit or </w:t>
            </w:r>
            <w:proofErr w:type="gramStart"/>
            <w:r>
              <w:t>similar to</w:t>
            </w:r>
            <w:proofErr w:type="gramEnd"/>
            <w:r>
              <w:t xml:space="preserve"> value of £100 (subject of inflationary uplift arrangements and price comparisons).</w:t>
            </w:r>
          </w:p>
        </w:tc>
      </w:tr>
      <w:tr w:rsidR="008D0607" w:rsidRPr="00357A61" w14:paraId="103F5072" w14:textId="77777777" w:rsidTr="004A30BA">
        <w:tc>
          <w:tcPr>
            <w:cnfStyle w:val="001000000000" w:firstRow="0" w:lastRow="0" w:firstColumn="1" w:lastColumn="0" w:oddVBand="0" w:evenVBand="0" w:oddHBand="0" w:evenHBand="0" w:firstRowFirstColumn="0" w:firstRowLastColumn="0" w:lastRowFirstColumn="0" w:lastRowLastColumn="0"/>
            <w:tcW w:w="3571" w:type="dxa"/>
          </w:tcPr>
          <w:p w14:paraId="7495832F" w14:textId="77777777" w:rsidR="008D0607" w:rsidRPr="000E47A0" w:rsidRDefault="008D0607" w:rsidP="008D0607">
            <w:pPr>
              <w:pStyle w:val="OICTable"/>
              <w:rPr>
                <w:b w:val="0"/>
                <w:bCs w:val="0"/>
              </w:rPr>
            </w:pPr>
            <w:r w:rsidRPr="000E47A0">
              <w:rPr>
                <w:b w:val="0"/>
                <w:bCs w:val="0"/>
              </w:rPr>
              <w:t xml:space="preserve">Festive celebratory gift </w:t>
            </w:r>
          </w:p>
        </w:tc>
        <w:tc>
          <w:tcPr>
            <w:tcW w:w="5445" w:type="dxa"/>
          </w:tcPr>
          <w:p w14:paraId="26D68F2C" w14:textId="77777777" w:rsidR="008D0607" w:rsidRPr="00357A61" w:rsidRDefault="008D0607" w:rsidP="008D0607">
            <w:pPr>
              <w:pStyle w:val="OICTable"/>
              <w:cnfStyle w:val="000000000000" w:firstRow="0" w:lastRow="0" w:firstColumn="0" w:lastColumn="0" w:oddVBand="0" w:evenVBand="0" w:oddHBand="0" w:evenHBand="0" w:firstRowFirstColumn="0" w:firstRowLastColumn="0" w:lastRowFirstColumn="0" w:lastRowLastColumn="0"/>
            </w:pPr>
            <w:r w:rsidRPr="000E47A0">
              <w:t>Discretionary, to promote emotional wellbeing and maintain meaningful engagement with the service. Value up to £50 (subject of inflationary uplift arrangements and price comparisons).</w:t>
            </w:r>
          </w:p>
        </w:tc>
      </w:tr>
      <w:tr w:rsidR="008D0607" w:rsidRPr="00357A61" w14:paraId="3318D4A2"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67FDE780" w14:textId="77777777" w:rsidR="008D0607" w:rsidRPr="000E47A0" w:rsidRDefault="008D0607" w:rsidP="008D0607">
            <w:pPr>
              <w:pStyle w:val="OICTable"/>
              <w:rPr>
                <w:b w:val="0"/>
                <w:bCs w:val="0"/>
              </w:rPr>
            </w:pPr>
            <w:r w:rsidRPr="000E47A0">
              <w:rPr>
                <w:b w:val="0"/>
                <w:bCs w:val="0"/>
              </w:rPr>
              <w:t xml:space="preserve">Graduation </w:t>
            </w:r>
          </w:p>
        </w:tc>
        <w:tc>
          <w:tcPr>
            <w:tcW w:w="5445" w:type="dxa"/>
          </w:tcPr>
          <w:p w14:paraId="12A6FB49" w14:textId="77777777" w:rsidR="008D0607" w:rsidRDefault="008D0607" w:rsidP="008D0607">
            <w:pPr>
              <w:pStyle w:val="OICTable"/>
              <w:cnfStyle w:val="000000100000" w:firstRow="0" w:lastRow="0" w:firstColumn="0" w:lastColumn="0" w:oddVBand="0" w:evenVBand="0" w:oddHBand="1" w:evenHBand="0" w:firstRowFirstColumn="0" w:firstRowLastColumn="0" w:lastRowFirstColumn="0" w:lastRowLastColumn="0"/>
            </w:pPr>
            <w:r>
              <w:t>The following costs may be covered to a value of current cost comparisons:</w:t>
            </w:r>
          </w:p>
          <w:p w14:paraId="2B02D492" w14:textId="7C70A2A8"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Tickets</w:t>
            </w:r>
            <w:r w:rsidR="00D41F25">
              <w:t>.</w:t>
            </w:r>
          </w:p>
          <w:p w14:paraId="26A1AF98" w14:textId="3D1B340D"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Gown hire</w:t>
            </w:r>
            <w:r w:rsidR="00D41F25">
              <w:t>.</w:t>
            </w:r>
          </w:p>
          <w:p w14:paraId="23DA29CB" w14:textId="563EFF98" w:rsidR="008D0607"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Official photo</w:t>
            </w:r>
            <w:r w:rsidR="00D41F25">
              <w:t>.</w:t>
            </w:r>
          </w:p>
          <w:p w14:paraId="038226D8" w14:textId="77777777" w:rsidR="008D0607" w:rsidRPr="00357A61" w:rsidRDefault="008D0607" w:rsidP="00D41F25">
            <w:pPr>
              <w:pStyle w:val="ListParagraph"/>
              <w:ind w:left="421" w:hanging="283"/>
              <w:cnfStyle w:val="000000100000" w:firstRow="0" w:lastRow="0" w:firstColumn="0" w:lastColumn="0" w:oddVBand="0" w:evenVBand="0" w:oddHBand="1" w:evenHBand="0" w:firstRowFirstColumn="0" w:firstRowLastColumn="0" w:lastRowFirstColumn="0" w:lastRowLastColumn="0"/>
            </w:pPr>
            <w:r>
              <w:t>Course reception.</w:t>
            </w:r>
          </w:p>
        </w:tc>
      </w:tr>
      <w:tr w:rsidR="008D0607" w:rsidRPr="00357A61" w14:paraId="3F115CB6" w14:textId="77777777" w:rsidTr="004A30BA">
        <w:tc>
          <w:tcPr>
            <w:cnfStyle w:val="001000000000" w:firstRow="0" w:lastRow="0" w:firstColumn="1" w:lastColumn="0" w:oddVBand="0" w:evenVBand="0" w:oddHBand="0" w:evenHBand="0" w:firstRowFirstColumn="0" w:firstRowLastColumn="0" w:lastRowFirstColumn="0" w:lastRowLastColumn="0"/>
            <w:tcW w:w="3571" w:type="dxa"/>
            <w:shd w:val="clear" w:color="auto" w:fill="0070C0"/>
          </w:tcPr>
          <w:p w14:paraId="5AA20C1D" w14:textId="77777777" w:rsidR="008D0607" w:rsidRPr="009D651C" w:rsidRDefault="008D0607" w:rsidP="008D0607">
            <w:pPr>
              <w:pStyle w:val="OICTable"/>
              <w:rPr>
                <w:color w:val="FFFFFF" w:themeColor="background1"/>
              </w:rPr>
            </w:pPr>
            <w:r w:rsidRPr="009D651C">
              <w:rPr>
                <w:color w:val="FFFFFF" w:themeColor="background1"/>
              </w:rPr>
              <w:lastRenderedPageBreak/>
              <w:t>Emergencies</w:t>
            </w:r>
          </w:p>
        </w:tc>
        <w:tc>
          <w:tcPr>
            <w:tcW w:w="5445" w:type="dxa"/>
            <w:shd w:val="clear" w:color="auto" w:fill="0070C0"/>
          </w:tcPr>
          <w:p w14:paraId="15B79665" w14:textId="77777777" w:rsidR="008D0607" w:rsidRPr="009D651C" w:rsidRDefault="008D0607" w:rsidP="008D0607">
            <w:pPr>
              <w:pStyle w:val="OICTable"/>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008D0607" w:rsidRPr="00357A61" w14:paraId="76B22F8D" w14:textId="77777777" w:rsidTr="004A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1" w:type="dxa"/>
          </w:tcPr>
          <w:p w14:paraId="181E788D" w14:textId="77777777" w:rsidR="008D0607" w:rsidRPr="000E47A0" w:rsidRDefault="008D0607" w:rsidP="008D0607">
            <w:pPr>
              <w:pStyle w:val="OICTable"/>
              <w:rPr>
                <w:b w:val="0"/>
                <w:bCs w:val="0"/>
              </w:rPr>
            </w:pPr>
            <w:r w:rsidRPr="000E47A0">
              <w:rPr>
                <w:b w:val="0"/>
                <w:bCs w:val="0"/>
              </w:rPr>
              <w:t>Payments for essential items or services can be made in emergency situations to ensure safety and wellbeing.</w:t>
            </w:r>
          </w:p>
        </w:tc>
        <w:tc>
          <w:tcPr>
            <w:tcW w:w="5445" w:type="dxa"/>
          </w:tcPr>
          <w:p w14:paraId="6403892B" w14:textId="77777777" w:rsidR="008D0607" w:rsidRPr="00357A61" w:rsidRDefault="008D0607" w:rsidP="008D0607">
            <w:pPr>
              <w:pStyle w:val="OICTable"/>
              <w:cnfStyle w:val="000000100000" w:firstRow="0" w:lastRow="0" w:firstColumn="0" w:lastColumn="0" w:oddVBand="0" w:evenVBand="0" w:oddHBand="1" w:evenHBand="0" w:firstRowFirstColumn="0" w:firstRowLastColumn="0" w:lastRowFirstColumn="0" w:lastRowLastColumn="0"/>
            </w:pPr>
            <w:r w:rsidRPr="000E47A0">
              <w:t>Discretionary, based on recommendation of social worker and decision of Service Managers. Where appropriate assistance in kind is provided, for example, via residential care staff.</w:t>
            </w:r>
          </w:p>
        </w:tc>
      </w:tr>
    </w:tbl>
    <w:p w14:paraId="3461A7A5" w14:textId="68A4C931" w:rsidR="00754195" w:rsidRDefault="00754195" w:rsidP="000B18BE"/>
    <w:p w14:paraId="6956C678" w14:textId="7558B02B" w:rsidR="0084756E" w:rsidRDefault="7EC86216" w:rsidP="00EC57FF">
      <w:pPr>
        <w:pStyle w:val="Heading2"/>
      </w:pPr>
      <w:bookmarkStart w:id="12" w:name="_Toc208838839"/>
      <w:bookmarkStart w:id="13" w:name="_Toc208838998"/>
      <w:r>
        <w:t>7</w:t>
      </w:r>
      <w:r w:rsidR="4818E622">
        <w:t xml:space="preserve">. </w:t>
      </w:r>
      <w:r>
        <w:t>Payment Procedure</w:t>
      </w:r>
      <w:bookmarkEnd w:id="12"/>
      <w:bookmarkEnd w:id="13"/>
      <w:r>
        <w:t xml:space="preserve"> </w:t>
      </w:r>
    </w:p>
    <w:p w14:paraId="4108CB86" w14:textId="59DFA33B" w:rsidR="0084756E" w:rsidRDefault="0084756E" w:rsidP="0084756E">
      <w:r>
        <w:t>7.1</w:t>
      </w:r>
      <w:r w:rsidR="00EC57FF">
        <w:t xml:space="preserve">. </w:t>
      </w:r>
      <w:r>
        <w:t>All payments are made into a bank account. If necessary young people will be given support to set up a bank account and provide identity documents, as required.</w:t>
      </w:r>
      <w:r w:rsidR="00922BC4">
        <w:t xml:space="preserve"> </w:t>
      </w:r>
      <w:r>
        <w:t>The time scales involved in setting up a bank account are recognised which will be part of the throughcare planning.</w:t>
      </w:r>
    </w:p>
    <w:p w14:paraId="0974BD08" w14:textId="593EBDED" w:rsidR="0084756E" w:rsidRDefault="0084756E" w:rsidP="0084756E">
      <w:r>
        <w:t>7.2</w:t>
      </w:r>
      <w:r w:rsidR="00EC57FF">
        <w:t xml:space="preserve">. </w:t>
      </w:r>
      <w:r>
        <w:t xml:space="preserve">For administrative purposes it is preferable that regular payments are made monthly, but payments can be weekly or two </w:t>
      </w:r>
      <w:proofErr w:type="gramStart"/>
      <w:r>
        <w:t>weekly</w:t>
      </w:r>
      <w:proofErr w:type="gramEnd"/>
      <w:r>
        <w:t xml:space="preserve"> to assist a young person with budgeting, especially under the age of 18 (see section 4). </w:t>
      </w:r>
    </w:p>
    <w:p w14:paraId="5E849E37" w14:textId="6C33D6DF" w:rsidR="0084756E" w:rsidRDefault="0084756E" w:rsidP="0084756E">
      <w:r>
        <w:t>7.3</w:t>
      </w:r>
      <w:r w:rsidR="00EC57FF">
        <w:t xml:space="preserve">. </w:t>
      </w:r>
      <w:r>
        <w:t xml:space="preserve">Council processes for authorising and processing payments must be considered. Young people will be informed about timescales and payment dates, and planning should take cognizance of the fact payments can take up to two weeks. Help with understanding the system, planning, and budgeting will be provided. </w:t>
      </w:r>
    </w:p>
    <w:p w14:paraId="20B69AAB" w14:textId="5A88ACD1" w:rsidR="0084756E" w:rsidRDefault="0084756E" w:rsidP="0084756E">
      <w:r>
        <w:t>7.4</w:t>
      </w:r>
      <w:r w:rsidR="00EC57FF">
        <w:t xml:space="preserve">. </w:t>
      </w:r>
      <w:r>
        <w:t xml:space="preserve">At the point of moving to live independently payment timescales will be considered. No young person will be expected to make the transition to independent living until the resources they need are in place or emergency provisions can be agreed to prevent further delay as assessed in the best interests of the young person. </w:t>
      </w:r>
    </w:p>
    <w:p w14:paraId="1858612C" w14:textId="2376388E" w:rsidR="0084756E" w:rsidRDefault="0084756E" w:rsidP="0084756E">
      <w:r>
        <w:t>7.5</w:t>
      </w:r>
      <w:r w:rsidR="00EC57FF">
        <w:t xml:space="preserve">. </w:t>
      </w:r>
      <w:r>
        <w:t xml:space="preserve">Requests for assistance via the Throughcare and Aftercare team should be made at the earliest opportunity. </w:t>
      </w:r>
    </w:p>
    <w:p w14:paraId="1194A0AA" w14:textId="1533E94F" w:rsidR="0084756E" w:rsidRDefault="0084756E" w:rsidP="0084756E">
      <w:r>
        <w:t>7.6</w:t>
      </w:r>
      <w:r w:rsidR="00EC57FF">
        <w:t xml:space="preserve">. </w:t>
      </w:r>
      <w:r>
        <w:t xml:space="preserve">In emergencies the process for authorising and processing payments will be expedited. This involves some cost and should only be used in exceptional circumstances. Alternative sources of emergency provision, for example, immediate help from residential services should be accessed where required. The principle that welfare is paramount will always be applied. </w:t>
      </w:r>
    </w:p>
    <w:p w14:paraId="0DE45EC5" w14:textId="7225CB77" w:rsidR="0084756E" w:rsidRDefault="0084756E" w:rsidP="0084756E">
      <w:r>
        <w:t>7.7</w:t>
      </w:r>
      <w:r w:rsidR="00EC57FF">
        <w:t xml:space="preserve">. </w:t>
      </w:r>
      <w:r>
        <w:t xml:space="preserve">Young people should inform the Throughcare and Aftercare team immediately if it appears that payments are inaccurate or delayed. Young people will be given support to help them maintain an overview of their finances. This will include personal support in developing life skills, managing money, and they can be helped to understand the potential to lose money if they do not take care like any good parent would do with their own children and young people. </w:t>
      </w:r>
    </w:p>
    <w:p w14:paraId="0D146A36" w14:textId="76D2CD11" w:rsidR="0084756E" w:rsidRDefault="0084756E" w:rsidP="0084756E">
      <w:r>
        <w:t>7.8</w:t>
      </w:r>
      <w:r w:rsidR="00EC57FF">
        <w:t xml:space="preserve">. </w:t>
      </w:r>
      <w:r>
        <w:t xml:space="preserve">Young people may on occasion have overpayments made in error and we shall help them understand the requirement for overpayments to be returned to the </w:t>
      </w:r>
      <w:r>
        <w:lastRenderedPageBreak/>
        <w:t>Council. The circumstances of any overpayment will be assessed and based on the overall circumstances and the needs of the young person at the time, any recommendations for full or partial repayment should be discussed with the Team Manager</w:t>
      </w:r>
      <w:r w:rsidR="00922BC4">
        <w:t xml:space="preserve"> </w:t>
      </w:r>
      <w:r>
        <w:t xml:space="preserve">who shall discuss the plan with the Service Manager for approval. In all situations, the starting point will be the expectation that a repayment schedule is agreed but the principle that welfare is paramount will always be applied too. </w:t>
      </w:r>
    </w:p>
    <w:p w14:paraId="633B4766" w14:textId="625A1E12" w:rsidR="0084756E" w:rsidRDefault="0084756E" w:rsidP="0084756E">
      <w:r>
        <w:t>7.9</w:t>
      </w:r>
      <w:r w:rsidR="00EC57FF">
        <w:t xml:space="preserve">. </w:t>
      </w:r>
      <w:r>
        <w:t xml:space="preserve">Payments log to be reviewed by Service Manager and Head of Service (minimum quarterly) for budget management purposes. </w:t>
      </w:r>
    </w:p>
    <w:p w14:paraId="742EED37" w14:textId="08DF2446" w:rsidR="0084756E" w:rsidRDefault="7EC86216" w:rsidP="00EC57FF">
      <w:pPr>
        <w:pStyle w:val="Heading2"/>
      </w:pPr>
      <w:bookmarkStart w:id="14" w:name="_Toc208838840"/>
      <w:bookmarkStart w:id="15" w:name="_Toc208838999"/>
      <w:r>
        <w:t>8</w:t>
      </w:r>
      <w:r w:rsidR="4818E622">
        <w:t xml:space="preserve">. </w:t>
      </w:r>
      <w:r>
        <w:t xml:space="preserve">Right to </w:t>
      </w:r>
      <w:r w:rsidR="4818E622">
        <w:t>M</w:t>
      </w:r>
      <w:r>
        <w:t>ake Representations and Complaints</w:t>
      </w:r>
      <w:bookmarkEnd w:id="14"/>
      <w:bookmarkEnd w:id="15"/>
    </w:p>
    <w:p w14:paraId="474F5D07" w14:textId="58C275C1" w:rsidR="0084756E" w:rsidRDefault="0084756E" w:rsidP="0084756E">
      <w:r>
        <w:t>8.1</w:t>
      </w:r>
      <w:r w:rsidR="00EC57FF">
        <w:t xml:space="preserve">. </w:t>
      </w:r>
      <w:r>
        <w:t xml:space="preserve">If a care experienced young person wishes to appeal against a decision relating to payment of discretionary grants or allowances, they should initially discuss the matter with their social worker. Immediate resolution should be sought. </w:t>
      </w:r>
    </w:p>
    <w:p w14:paraId="4AB0ADBC" w14:textId="76B30C17" w:rsidR="0084756E" w:rsidRDefault="0084756E" w:rsidP="0084756E">
      <w:r>
        <w:t>8.2</w:t>
      </w:r>
      <w:r w:rsidR="00EC57FF">
        <w:t xml:space="preserve">. </w:t>
      </w:r>
      <w:r>
        <w:t xml:space="preserve">If this is not possible, the young person, social worker or support worker should discuss the matter with the Team Manager or Service Manager in their absence. The Team Manager will discuss it with the social worker and or support worker with a view to resolving it as fairly and quickly as possible. In the event this does not satisfy the young person, they can appeal in writing to the </w:t>
      </w:r>
      <w:r w:rsidR="00A76F29">
        <w:t>Head of Service</w:t>
      </w:r>
      <w:r w:rsidR="00B961C4">
        <w:t>.</w:t>
      </w:r>
      <w:r>
        <w:t xml:space="preserve"> The young person will be kept informed at each stage of the process.</w:t>
      </w:r>
    </w:p>
    <w:p w14:paraId="7705D71E" w14:textId="4DE3B8AE" w:rsidR="0084756E" w:rsidRDefault="0084756E" w:rsidP="0084756E">
      <w:r>
        <w:t>8.3</w:t>
      </w:r>
      <w:r w:rsidR="00EC57FF">
        <w:t xml:space="preserve">. </w:t>
      </w:r>
      <w:r>
        <w:t>The young person can be supported to compile the appeal letter</w:t>
      </w:r>
      <w:r w:rsidR="00A76F29">
        <w:t xml:space="preserve"> by their allocated worker or via a referral to advocacy services </w:t>
      </w:r>
      <w:r>
        <w:t xml:space="preserve">highlighting the word ‘appeal’ in the first line. The letter should give an account of how much is requested, the purpose of the payment and any significant timescales which apply. It is advisable to provide a copy of this letter for the social worker for the young person’s file. </w:t>
      </w:r>
    </w:p>
    <w:p w14:paraId="361A813A" w14:textId="3430BB76" w:rsidR="0084756E" w:rsidRDefault="0084756E" w:rsidP="0084756E">
      <w:r>
        <w:t>8.4</w:t>
      </w:r>
      <w:r w:rsidR="00EC57FF">
        <w:t xml:space="preserve">. </w:t>
      </w:r>
      <w:r>
        <w:t xml:space="preserve">The </w:t>
      </w:r>
      <w:r w:rsidR="00A76F29">
        <w:t>Head of Service</w:t>
      </w:r>
      <w:r>
        <w:t xml:space="preserve"> will review the decision against the policy and </w:t>
      </w:r>
      <w:proofErr w:type="gramStart"/>
      <w:r>
        <w:t>all of</w:t>
      </w:r>
      <w:proofErr w:type="gramEnd"/>
      <w:r>
        <w:t xml:space="preserve"> the circumstances and advise the young person in writing of the outcome within 28 days of the appeal from the young person. A copy of the decision letter will be placed on the young person’s file. </w:t>
      </w:r>
    </w:p>
    <w:p w14:paraId="6C944975" w14:textId="6BD1E417" w:rsidR="0084756E" w:rsidRDefault="0084756E" w:rsidP="0084756E">
      <w:r>
        <w:t>8.</w:t>
      </w:r>
      <w:r w:rsidR="007D2DA3">
        <w:t>5</w:t>
      </w:r>
      <w:r w:rsidR="00EC57FF">
        <w:t xml:space="preserve">. </w:t>
      </w:r>
      <w:r>
        <w:t>If a young person wishes to complain about the process of decision making, they should make a representation to the OHAC Complaints Officer. A separate leaflet is available explaining who to contact and what happens next.</w:t>
      </w:r>
    </w:p>
    <w:p w14:paraId="0FD2F4AF" w14:textId="6E2846EE" w:rsidR="0084756E" w:rsidRDefault="0084756E" w:rsidP="0084756E">
      <w:r>
        <w:t>8.</w:t>
      </w:r>
      <w:r w:rsidR="007D2DA3">
        <w:t>6</w:t>
      </w:r>
      <w:r w:rsidR="00EC57FF">
        <w:t xml:space="preserve">. </w:t>
      </w:r>
      <w:r>
        <w:t>Care experienced young people who wish to appeal or complain can be supported by an independent advocate from commissioned advocacy services in Orkney.</w:t>
      </w:r>
      <w:r w:rsidR="00922BC4">
        <w:t xml:space="preserve"> </w:t>
      </w:r>
    </w:p>
    <w:p w14:paraId="609DD225" w14:textId="1D03990C" w:rsidR="00754195" w:rsidRDefault="7EC86216" w:rsidP="00C846C0">
      <w:pPr>
        <w:pStyle w:val="Heading2"/>
      </w:pPr>
      <w:bookmarkStart w:id="16" w:name="_Toc208838841"/>
      <w:bookmarkStart w:id="17" w:name="_Toc208839000"/>
      <w:r>
        <w:t>9</w:t>
      </w:r>
      <w:r w:rsidR="4818E622">
        <w:t xml:space="preserve">. </w:t>
      </w:r>
      <w:r>
        <w:t>Version History</w:t>
      </w:r>
      <w:bookmarkEnd w:id="16"/>
      <w:bookmarkEnd w:id="17"/>
    </w:p>
    <w:tbl>
      <w:tblPr>
        <w:tblStyle w:val="TableGrid"/>
        <w:tblW w:w="0" w:type="auto"/>
        <w:tblLook w:val="04A0" w:firstRow="1" w:lastRow="0" w:firstColumn="1" w:lastColumn="0" w:noHBand="0" w:noVBand="1"/>
      </w:tblPr>
      <w:tblGrid>
        <w:gridCol w:w="2547"/>
        <w:gridCol w:w="6469"/>
      </w:tblGrid>
      <w:tr w:rsidR="00F5265E" w14:paraId="289C3444" w14:textId="77777777" w:rsidTr="00405859">
        <w:tc>
          <w:tcPr>
            <w:tcW w:w="2547" w:type="dxa"/>
          </w:tcPr>
          <w:p w14:paraId="6A0148C4" w14:textId="06AC2D2D" w:rsidR="00F5265E" w:rsidRDefault="00F5265E" w:rsidP="00C846C0">
            <w:pPr>
              <w:pStyle w:val="EmphasisOIC"/>
              <w:spacing w:before="60" w:after="60"/>
            </w:pPr>
            <w:r>
              <w:t>Aut</w:t>
            </w:r>
            <w:r w:rsidR="00405859">
              <w:t>h</w:t>
            </w:r>
            <w:r>
              <w:t>or</w:t>
            </w:r>
          </w:p>
        </w:tc>
        <w:tc>
          <w:tcPr>
            <w:tcW w:w="6469" w:type="dxa"/>
          </w:tcPr>
          <w:p w14:paraId="716E7AB3" w14:textId="77777777" w:rsidR="00F5265E" w:rsidRDefault="00405859" w:rsidP="00C846C0">
            <w:pPr>
              <w:pStyle w:val="OICTable"/>
            </w:pPr>
            <w:r>
              <w:t>Gemma Williams, Interim Service Manager (Children and Families Authority Wide Services).</w:t>
            </w:r>
          </w:p>
          <w:p w14:paraId="4E51865B" w14:textId="163381E2" w:rsidR="00405859" w:rsidRDefault="00405859" w:rsidP="00C846C0">
            <w:pPr>
              <w:pStyle w:val="OICTable"/>
            </w:pPr>
            <w:r>
              <w:t>Darren Morrow, Head of Children, Families and Justice Services and Chief Social Work Officer.</w:t>
            </w:r>
          </w:p>
        </w:tc>
      </w:tr>
      <w:tr w:rsidR="00F5265E" w14:paraId="6292EB70" w14:textId="77777777" w:rsidTr="00405859">
        <w:tc>
          <w:tcPr>
            <w:tcW w:w="2547" w:type="dxa"/>
          </w:tcPr>
          <w:p w14:paraId="0B8DDB10" w14:textId="477ABD5E" w:rsidR="00F5265E" w:rsidRDefault="00405859" w:rsidP="00C846C0">
            <w:pPr>
              <w:pStyle w:val="EmphasisOIC"/>
              <w:spacing w:before="60" w:after="60"/>
            </w:pPr>
            <w:r>
              <w:t>Document Owner</w:t>
            </w:r>
          </w:p>
        </w:tc>
        <w:tc>
          <w:tcPr>
            <w:tcW w:w="6469" w:type="dxa"/>
          </w:tcPr>
          <w:p w14:paraId="5C19BDCB" w14:textId="634B37F6" w:rsidR="00F5265E" w:rsidRDefault="00405859" w:rsidP="00C846C0">
            <w:pPr>
              <w:pStyle w:val="OICTable"/>
            </w:pPr>
            <w:r>
              <w:t>Darren Morrow, Head of Children, Families and Justice Services and Chief Social Work Officer.</w:t>
            </w:r>
          </w:p>
        </w:tc>
      </w:tr>
    </w:tbl>
    <w:p w14:paraId="60B87D9C" w14:textId="03BAFCC7" w:rsidR="0084756E" w:rsidRDefault="0084756E" w:rsidP="0084756E"/>
    <w:tbl>
      <w:tblPr>
        <w:tblStyle w:val="TableGrid"/>
        <w:tblW w:w="0" w:type="auto"/>
        <w:tblLook w:val="04A0" w:firstRow="1" w:lastRow="0" w:firstColumn="1" w:lastColumn="0" w:noHBand="0" w:noVBand="1"/>
      </w:tblPr>
      <w:tblGrid>
        <w:gridCol w:w="1129"/>
        <w:gridCol w:w="993"/>
        <w:gridCol w:w="1418"/>
        <w:gridCol w:w="1700"/>
        <w:gridCol w:w="3776"/>
      </w:tblGrid>
      <w:tr w:rsidR="00F5265E" w14:paraId="5EF47867" w14:textId="77777777" w:rsidTr="5FB2DA03">
        <w:tc>
          <w:tcPr>
            <w:tcW w:w="1129" w:type="dxa"/>
          </w:tcPr>
          <w:p w14:paraId="44B5D164" w14:textId="6E70C179" w:rsidR="00F5265E" w:rsidRDefault="00C846C0" w:rsidP="00922BC4">
            <w:pPr>
              <w:pStyle w:val="EmphasisOIC"/>
              <w:spacing w:before="60" w:after="60"/>
            </w:pPr>
            <w:r>
              <w:t>Version</w:t>
            </w:r>
          </w:p>
        </w:tc>
        <w:tc>
          <w:tcPr>
            <w:tcW w:w="993" w:type="dxa"/>
          </w:tcPr>
          <w:p w14:paraId="0E2ECCD6" w14:textId="3192C4D4" w:rsidR="00F5265E" w:rsidRDefault="007C3565" w:rsidP="00922BC4">
            <w:pPr>
              <w:pStyle w:val="EmphasisOIC"/>
              <w:spacing w:before="60" w:after="60"/>
            </w:pPr>
            <w:r>
              <w:t>Status</w:t>
            </w:r>
          </w:p>
        </w:tc>
        <w:tc>
          <w:tcPr>
            <w:tcW w:w="1418" w:type="dxa"/>
          </w:tcPr>
          <w:p w14:paraId="3474E99C" w14:textId="5EF73546" w:rsidR="00F5265E" w:rsidRDefault="00C846C0" w:rsidP="00922BC4">
            <w:pPr>
              <w:pStyle w:val="EmphasisOIC"/>
              <w:spacing w:before="60" w:after="60"/>
            </w:pPr>
            <w:r>
              <w:t>Date</w:t>
            </w:r>
          </w:p>
        </w:tc>
        <w:tc>
          <w:tcPr>
            <w:tcW w:w="1700" w:type="dxa"/>
          </w:tcPr>
          <w:p w14:paraId="0432E489" w14:textId="71498B1C" w:rsidR="00F5265E" w:rsidRDefault="00C846C0" w:rsidP="00922BC4">
            <w:pPr>
              <w:pStyle w:val="EmphasisOIC"/>
              <w:spacing w:before="60" w:after="60"/>
            </w:pPr>
            <w:r>
              <w:t>Amended By</w:t>
            </w:r>
          </w:p>
        </w:tc>
        <w:tc>
          <w:tcPr>
            <w:tcW w:w="3776" w:type="dxa"/>
          </w:tcPr>
          <w:p w14:paraId="2F760D99" w14:textId="23B23618" w:rsidR="00F5265E" w:rsidRDefault="00C846C0" w:rsidP="00922BC4">
            <w:pPr>
              <w:pStyle w:val="EmphasisOIC"/>
              <w:spacing w:before="60" w:after="60"/>
            </w:pPr>
            <w:r>
              <w:t>Overview Reason</w:t>
            </w:r>
          </w:p>
        </w:tc>
      </w:tr>
      <w:tr w:rsidR="00F5265E" w14:paraId="5B952C5E" w14:textId="77777777" w:rsidTr="5FB2DA03">
        <w:tc>
          <w:tcPr>
            <w:tcW w:w="1129" w:type="dxa"/>
          </w:tcPr>
          <w:p w14:paraId="3A12C37E" w14:textId="1A360CFA" w:rsidR="00F5265E" w:rsidRDefault="00650E62" w:rsidP="00922BC4">
            <w:pPr>
              <w:pStyle w:val="OICTable"/>
            </w:pPr>
            <w:r>
              <w:t>1</w:t>
            </w:r>
          </w:p>
        </w:tc>
        <w:tc>
          <w:tcPr>
            <w:tcW w:w="993" w:type="dxa"/>
          </w:tcPr>
          <w:p w14:paraId="7CE29C0D" w14:textId="78EE7E41" w:rsidR="00F5265E" w:rsidRDefault="007C3565" w:rsidP="00922BC4">
            <w:pPr>
              <w:pStyle w:val="OICTable"/>
            </w:pPr>
            <w:r>
              <w:t>Draft</w:t>
            </w:r>
          </w:p>
        </w:tc>
        <w:tc>
          <w:tcPr>
            <w:tcW w:w="1418" w:type="dxa"/>
          </w:tcPr>
          <w:p w14:paraId="1C89926A" w14:textId="03F76767" w:rsidR="00F5265E" w:rsidRDefault="007C3565" w:rsidP="00922BC4">
            <w:pPr>
              <w:pStyle w:val="OICTable"/>
            </w:pPr>
            <w:r>
              <w:t>22/08/2025</w:t>
            </w:r>
          </w:p>
        </w:tc>
        <w:tc>
          <w:tcPr>
            <w:tcW w:w="1700" w:type="dxa"/>
          </w:tcPr>
          <w:p w14:paraId="64C2B15D" w14:textId="0AA9D2DE" w:rsidR="00F5265E" w:rsidRDefault="007C3565" w:rsidP="00922BC4">
            <w:pPr>
              <w:pStyle w:val="OICTable"/>
            </w:pPr>
            <w:r>
              <w:t>GW/DM</w:t>
            </w:r>
          </w:p>
        </w:tc>
        <w:tc>
          <w:tcPr>
            <w:tcW w:w="3776" w:type="dxa"/>
          </w:tcPr>
          <w:p w14:paraId="1C1B3A38" w14:textId="41D0D531" w:rsidR="00F5265E" w:rsidRDefault="007C3565" w:rsidP="00922BC4">
            <w:pPr>
              <w:pStyle w:val="OICTable"/>
            </w:pPr>
            <w:r>
              <w:t>Rat</w:t>
            </w:r>
            <w:r w:rsidR="00922BC4">
              <w:t>ified Policy and Procedure required</w:t>
            </w:r>
          </w:p>
        </w:tc>
      </w:tr>
    </w:tbl>
    <w:p w14:paraId="5F3670E6" w14:textId="77777777" w:rsidR="00F5265E" w:rsidRDefault="00F5265E" w:rsidP="0084756E"/>
    <w:p w14:paraId="7E979952" w14:textId="77777777" w:rsidR="00BD44D0" w:rsidRDefault="00BD44D0">
      <w:pPr>
        <w:suppressAutoHyphens w:val="0"/>
        <w:rPr>
          <w:rFonts w:eastAsia="Times New Roman"/>
          <w:b/>
          <w:bCs/>
          <w:color w:val="000000"/>
          <w:sz w:val="32"/>
          <w:szCs w:val="26"/>
        </w:rPr>
      </w:pPr>
      <w:r>
        <w:br w:type="page"/>
      </w:r>
    </w:p>
    <w:p w14:paraId="0AE108EA" w14:textId="405100C7" w:rsidR="00EC57FF" w:rsidRDefault="4818E622" w:rsidP="00D06EF1">
      <w:pPr>
        <w:pStyle w:val="Heading2"/>
      </w:pPr>
      <w:bookmarkStart w:id="18" w:name="_Toc208838842"/>
      <w:bookmarkStart w:id="19" w:name="_Toc208839001"/>
      <w:r>
        <w:lastRenderedPageBreak/>
        <w:t xml:space="preserve">Appendix 1: The </w:t>
      </w:r>
      <w:r w:rsidR="712B4C3E">
        <w:t>L</w:t>
      </w:r>
      <w:r>
        <w:t xml:space="preserve">egal </w:t>
      </w:r>
      <w:r w:rsidR="712B4C3E">
        <w:t>C</w:t>
      </w:r>
      <w:r>
        <w:t>ontext</w:t>
      </w:r>
      <w:bookmarkEnd w:id="18"/>
      <w:bookmarkEnd w:id="19"/>
    </w:p>
    <w:p w14:paraId="761FB639" w14:textId="77777777" w:rsidR="00EC57FF" w:rsidRDefault="00EC57FF" w:rsidP="00EC57FF">
      <w:r>
        <w:t>The definition of a “looked after‟ child is in section 17(6) of the Children (Scotland) Act 1995, as amended by Schedule 2, para 9(4) of Adoption and Children (Scotland) Act 2007 and Children’s Hearings (Scotland) Act 2011.</w:t>
      </w:r>
    </w:p>
    <w:p w14:paraId="399E91E8" w14:textId="767A4E72" w:rsidR="00EC57FF" w:rsidRDefault="00EC57FF" w:rsidP="00EC57FF">
      <w:r>
        <w:t>A child is looked after when he or she is one of the below:</w:t>
      </w:r>
    </w:p>
    <w:p w14:paraId="13504C06" w14:textId="28D149C5" w:rsidR="00EC57FF" w:rsidRDefault="00EC57FF" w:rsidP="00474BE2">
      <w:pPr>
        <w:pStyle w:val="ListParagraph"/>
        <w:numPr>
          <w:ilvl w:val="0"/>
          <w:numId w:val="15"/>
        </w:numPr>
        <w:ind w:left="567" w:hanging="425"/>
      </w:pPr>
      <w:r>
        <w:t>Provided with accommodation by a Local Authority under section 25 of the 1995 Act.</w:t>
      </w:r>
    </w:p>
    <w:p w14:paraId="0A813463" w14:textId="08CBE83B" w:rsidR="00EC57FF" w:rsidRDefault="00EC57FF" w:rsidP="00474BE2">
      <w:pPr>
        <w:pStyle w:val="ListParagraph"/>
        <w:numPr>
          <w:ilvl w:val="0"/>
          <w:numId w:val="15"/>
        </w:numPr>
        <w:ind w:left="567" w:hanging="425"/>
      </w:pPr>
      <w:r>
        <w:t>Subject to a Compulsory Supervision Order made by a children's hearing, in terms of section 91 or section 119 of the Children’s Hearings (Scotland) Act 2011.</w:t>
      </w:r>
    </w:p>
    <w:p w14:paraId="19C361E7" w14:textId="1C48D6CC" w:rsidR="00EC57FF" w:rsidRDefault="00EC57FF" w:rsidP="00474BE2">
      <w:pPr>
        <w:pStyle w:val="ListParagraph"/>
        <w:numPr>
          <w:ilvl w:val="0"/>
          <w:numId w:val="15"/>
        </w:numPr>
        <w:ind w:left="567" w:hanging="425"/>
      </w:pPr>
      <w:r>
        <w:t xml:space="preserve">Subject to an order, authorisation or Interim Compulsory Supervision Order made under the 1995 or 2011 Act, and according to which the Local Authority has responsibilities in respect of the child. These include a Child Protection Order, a Child Assessment Order, an authorisation from a Justice of the Peace to remove a child to a place of safety or maintain a child in a place of safety, removal to a place of safety by a police constable. </w:t>
      </w:r>
    </w:p>
    <w:p w14:paraId="778FADA3" w14:textId="4EA18DD3" w:rsidR="00EC57FF" w:rsidRDefault="00EC57FF" w:rsidP="00474BE2">
      <w:pPr>
        <w:pStyle w:val="ListParagraph"/>
        <w:numPr>
          <w:ilvl w:val="0"/>
          <w:numId w:val="15"/>
        </w:numPr>
        <w:ind w:left="567" w:hanging="425"/>
      </w:pPr>
      <w:r>
        <w:t xml:space="preserve">Living in Scotland and subject to an order in respect of whom a Scottish Local Authority has responsibilities, </w:t>
      </w:r>
      <w:proofErr w:type="gramStart"/>
      <w:r>
        <w:t>as a result of</w:t>
      </w:r>
      <w:proofErr w:type="gramEnd"/>
      <w:r>
        <w:t xml:space="preserve"> a transfer of an order to it under the Children (Reciprocal Enforcement of Prescribed Orders etc. (England and Wales and Northern Ireland) (Scotland) Regulations 1996. These 1996 Regulations were made under section 33 of the 1995 Act. </w:t>
      </w:r>
    </w:p>
    <w:p w14:paraId="5E05346F" w14:textId="00944043" w:rsidR="00EC57FF" w:rsidRDefault="00EC57FF" w:rsidP="00474BE2">
      <w:pPr>
        <w:pStyle w:val="ListParagraph"/>
        <w:numPr>
          <w:ilvl w:val="0"/>
          <w:numId w:val="15"/>
        </w:numPr>
        <w:spacing w:after="240"/>
        <w:ind w:left="567" w:hanging="425"/>
      </w:pPr>
      <w:r>
        <w:t xml:space="preserve">Subject to a Permanence Order (with or without authority to adopt) under section 80 of the 2007 Act. </w:t>
      </w:r>
    </w:p>
    <w:p w14:paraId="08B967A9" w14:textId="68390F8A" w:rsidR="00EC57FF" w:rsidRDefault="00EC57FF" w:rsidP="00E338D1">
      <w:pPr>
        <w:pStyle w:val="EmphasisOIC"/>
      </w:pPr>
      <w:r>
        <w:t xml:space="preserve">Children </w:t>
      </w:r>
      <w:r w:rsidR="00E338D1">
        <w:t>L</w:t>
      </w:r>
      <w:r>
        <w:t xml:space="preserve">eaving </w:t>
      </w:r>
      <w:r w:rsidR="00E338D1">
        <w:t>C</w:t>
      </w:r>
      <w:r>
        <w:t>are</w:t>
      </w:r>
    </w:p>
    <w:p w14:paraId="4BCA6FFF" w14:textId="77777777" w:rsidR="00EC57FF" w:rsidRDefault="00EC57FF" w:rsidP="00EC57FF">
      <w:r>
        <w:t>The Children (Scotland) Act 1995 (as amended) set out that Local Authorities have a legal duty to:</w:t>
      </w:r>
    </w:p>
    <w:p w14:paraId="30376CEB" w14:textId="1B7EA6A3" w:rsidR="00EC57FF" w:rsidRDefault="000E68B0" w:rsidP="000E68B0">
      <w:pPr>
        <w:pStyle w:val="ListParagraph"/>
      </w:pPr>
      <w:r>
        <w:t>P</w:t>
      </w:r>
      <w:r w:rsidR="00EC57FF">
        <w:t>repare young people for leaving care or ceasing to be looked after.</w:t>
      </w:r>
    </w:p>
    <w:p w14:paraId="595A40B2" w14:textId="0E13C8F4" w:rsidR="00EC57FF" w:rsidRDefault="00EF7C55" w:rsidP="000E68B0">
      <w:pPr>
        <w:pStyle w:val="ListParagraph"/>
      </w:pPr>
      <w:r>
        <w:t>P</w:t>
      </w:r>
      <w:r w:rsidR="00EC57FF">
        <w:t xml:space="preserve">rovide advice and assistance to young people who have ceased to be looked after on or after their 16th birthday. </w:t>
      </w:r>
    </w:p>
    <w:p w14:paraId="7670D7E2" w14:textId="2BB232E9" w:rsidR="00EC57FF" w:rsidRDefault="00EC57FF" w:rsidP="00EF7C55">
      <w:pPr>
        <w:pStyle w:val="ListParagraph"/>
        <w:spacing w:after="240"/>
      </w:pPr>
      <w:r>
        <w:t>Local Authorities are legally required to provide aftercare support until the care leaver turns 19, and to assess any eligible needs for aftercare support until they turn 26 (or beyond in some cases).</w:t>
      </w:r>
    </w:p>
    <w:p w14:paraId="6216F688" w14:textId="301EACB0" w:rsidR="00EC57FF" w:rsidRDefault="00EC57FF" w:rsidP="00EC57FF">
      <w:r>
        <w:t xml:space="preserve">These duties are set out in the Support and Assistance of Young People Leaving Care (Scotland) Regulations 2003. </w:t>
      </w:r>
      <w:hyperlink r:id="rId12" w:history="1">
        <w:r w:rsidR="00092A4B">
          <w:rPr>
            <w:rStyle w:val="Hyperlink"/>
          </w:rPr>
          <w:t>Guidance on services for young people leaving care</w:t>
        </w:r>
      </w:hyperlink>
      <w:r w:rsidR="00092A4B">
        <w:t xml:space="preserve"> </w:t>
      </w:r>
      <w:r>
        <w:t>was published in March 2004.</w:t>
      </w:r>
      <w:r w:rsidR="00922BC4">
        <w:t xml:space="preserve"> </w:t>
      </w:r>
      <w:r>
        <w:t xml:space="preserve">This was adjusted by </w:t>
      </w:r>
      <w:r w:rsidR="005E423E">
        <w:t>t</w:t>
      </w:r>
      <w:r>
        <w:t xml:space="preserve">he </w:t>
      </w:r>
      <w:hyperlink r:id="rId13" w:history="1">
        <w:r w:rsidR="005E423E">
          <w:rPr>
            <w:rStyle w:val="Hyperlink"/>
          </w:rPr>
          <w:t>Support and Assistance of Young People Leaving Care (Scotland) Amendment Regulations 2015</w:t>
        </w:r>
      </w:hyperlink>
      <w:r w:rsidR="005E423E">
        <w:t xml:space="preserve"> </w:t>
      </w:r>
      <w:r>
        <w:t xml:space="preserve">and also the </w:t>
      </w:r>
      <w:hyperlink r:id="rId14" w:history="1">
        <w:r w:rsidR="00710812">
          <w:rPr>
            <w:rStyle w:val="Hyperlink"/>
          </w:rPr>
          <w:t>Aftercare (Eligible Needs) (Scotland) Order 2015</w:t>
        </w:r>
      </w:hyperlink>
      <w:r>
        <w:t>.</w:t>
      </w:r>
    </w:p>
    <w:p w14:paraId="25FC9BF2" w14:textId="017C3E41" w:rsidR="00EC57FF" w:rsidRDefault="003B5641" w:rsidP="00EC57FF">
      <w:hyperlink r:id="rId15" w:history="1">
        <w:r>
          <w:rPr>
            <w:rStyle w:val="Hyperlink"/>
          </w:rPr>
          <w:t>Guidance for corporate parents on improving housing and accommodation for care leavers</w:t>
        </w:r>
      </w:hyperlink>
      <w:r w:rsidRPr="003B5641">
        <w:t xml:space="preserve"> </w:t>
      </w:r>
      <w:r w:rsidR="00EC57FF">
        <w:t>is also available.</w:t>
      </w:r>
    </w:p>
    <w:p w14:paraId="66F752E7" w14:textId="77777777" w:rsidR="00EC57FF" w:rsidRDefault="00EC57FF" w:rsidP="00E338D1">
      <w:pPr>
        <w:pStyle w:val="EmphasisOIC"/>
      </w:pPr>
      <w:r>
        <w:t>Throughcare and aftercare legislation</w:t>
      </w:r>
    </w:p>
    <w:p w14:paraId="39344667" w14:textId="7D81BCF9" w:rsidR="00EC57FF" w:rsidRDefault="00C134A0" w:rsidP="00EC57FF">
      <w:hyperlink r:id="rId16" w:history="1">
        <w:r>
          <w:rPr>
            <w:rStyle w:val="Hyperlink"/>
          </w:rPr>
          <w:t>The Children and Young People (Scotland) Act 2014</w:t>
        </w:r>
      </w:hyperlink>
      <w:r w:rsidRPr="00C134A0">
        <w:t xml:space="preserve"> </w:t>
      </w:r>
      <w:r w:rsidR="00EC57FF">
        <w:t>put into law the policy aspirations of:</w:t>
      </w:r>
    </w:p>
    <w:p w14:paraId="257DB922" w14:textId="42C5CE1E" w:rsidR="00EC57FF" w:rsidRDefault="006A531F" w:rsidP="00B511B1">
      <w:pPr>
        <w:pStyle w:val="ListParagraph"/>
      </w:pPr>
      <w:hyperlink r:id="rId17" w:history="1">
        <w:r>
          <w:rPr>
            <w:rStyle w:val="Hyperlink"/>
          </w:rPr>
          <w:t>These are our Bairns</w:t>
        </w:r>
      </w:hyperlink>
      <w:r w:rsidRPr="006A531F">
        <w:t xml:space="preserve"> </w:t>
      </w:r>
      <w:r w:rsidR="00EC57FF">
        <w:t>- guidance for community planning partnerships (CPPs) on how to be a good corporate parent.</w:t>
      </w:r>
    </w:p>
    <w:p w14:paraId="63340D6A" w14:textId="7262388A" w:rsidR="00EC57FF" w:rsidRDefault="000667C6" w:rsidP="00B511B1">
      <w:pPr>
        <w:pStyle w:val="ListParagraph"/>
      </w:pPr>
      <w:hyperlink r:id="rId18" w:history="1">
        <w:r>
          <w:rPr>
            <w:rStyle w:val="Hyperlink"/>
          </w:rPr>
          <w:t>Staying Put Scotland</w:t>
        </w:r>
      </w:hyperlink>
      <w:r>
        <w:t xml:space="preserve"> </w:t>
      </w:r>
      <w:r w:rsidR="00EC57FF">
        <w:t>- guidance for all corporate parents on ensuring the wellbeing of care leavers, including coverage of Continuing Care.</w:t>
      </w:r>
    </w:p>
    <w:p w14:paraId="5EF380F6" w14:textId="360103FE" w:rsidR="00EC57FF" w:rsidRDefault="00EC57FF" w:rsidP="00EC57FF">
      <w:r>
        <w:t xml:space="preserve">The 2003 Regulations were amended as of 1 April 2015 by the </w:t>
      </w:r>
      <w:hyperlink r:id="rId19" w:history="1">
        <w:r w:rsidR="00823719">
          <w:rPr>
            <w:rStyle w:val="Hyperlink"/>
          </w:rPr>
          <w:t>Support and Assistance of Young People Leaving Care (Scotland) Amendment Regulations 2015 (SSI 2015/62)</w:t>
        </w:r>
      </w:hyperlink>
      <w:r w:rsidR="00823719" w:rsidRPr="00823719">
        <w:t xml:space="preserve"> </w:t>
      </w:r>
      <w:r>
        <w:t>to extend the categories of aftercare support provided for by the 2014 Act.</w:t>
      </w:r>
    </w:p>
    <w:p w14:paraId="3EA734F5" w14:textId="77777777" w:rsidR="00EC57FF" w:rsidRDefault="00EC57FF" w:rsidP="00E338D1">
      <w:pPr>
        <w:pStyle w:val="EmphasisOIC"/>
      </w:pPr>
      <w:r>
        <w:t>Continuing care after the age of 16</w:t>
      </w:r>
    </w:p>
    <w:p w14:paraId="2FA781CF" w14:textId="77777777" w:rsidR="00EC57FF" w:rsidRDefault="00EC57FF" w:rsidP="00EC57FF">
      <w:r>
        <w:t>Section 67 of The Children and Young People (Scotland) Act 2014 inserted a new section 26A into the Children (Scotland) Act. A young person born after 1 April 1999 who is looked after in foster, kinship or residential care is eligible to remain in their current care placement until they turn 21. This is called Continuing Care.</w:t>
      </w:r>
    </w:p>
    <w:p w14:paraId="482B9DC4" w14:textId="77777777" w:rsidR="00EC57FF" w:rsidRDefault="00EC57FF" w:rsidP="00EC57FF">
      <w:r>
        <w:t>If the placement cannot be maintained, or if it is in the young person's best interests to start an alternative placement, a welfare assessment must be provided showing why staying in their current placement would significantly adversely affect their wellbeing.</w:t>
      </w:r>
    </w:p>
    <w:p w14:paraId="4C50518D" w14:textId="77777777" w:rsidR="00EC57FF" w:rsidRDefault="00EC57FF" w:rsidP="00EC57FF">
      <w:r>
        <w:t>Any eligible young person ceasing to be looked after on or after they turn 16 can request Continuing Care. A young person receiving Continuing Care will no longer be defined as 'looked after' but will continue to receive the same support. When Continuing Care ends the young person is then eligible for Aftercare support until they turn 26.</w:t>
      </w:r>
    </w:p>
    <w:p w14:paraId="405576E6" w14:textId="0F3AC890" w:rsidR="00EC57FF" w:rsidRDefault="00B6659C" w:rsidP="00EC57FF">
      <w:hyperlink r:id="rId20" w:history="1">
        <w:r>
          <w:rPr>
            <w:rStyle w:val="Hyperlink"/>
          </w:rPr>
          <w:t>Guidance on Continuing Care</w:t>
        </w:r>
      </w:hyperlink>
      <w:r w:rsidRPr="00B6659C">
        <w:t xml:space="preserve"> </w:t>
      </w:r>
      <w:r w:rsidR="00EC57FF">
        <w:t>was published in November 2016.</w:t>
      </w:r>
    </w:p>
    <w:p w14:paraId="29BF25E1" w14:textId="77777777" w:rsidR="00EC57FF" w:rsidRDefault="00EC57FF" w:rsidP="00E338D1">
      <w:pPr>
        <w:pStyle w:val="EmphasisOIC"/>
      </w:pPr>
      <w:r>
        <w:t>Extension of aftercare</w:t>
      </w:r>
    </w:p>
    <w:p w14:paraId="251CF7CA" w14:textId="77777777" w:rsidR="00EC57FF" w:rsidRDefault="00EC57FF" w:rsidP="00EC57FF">
      <w:r>
        <w:t>Section 66 of The Children and Young People (Scotland) Act 2014 amended sections 29 and 30 of the Children (Scotland) Act 1995. Any young person who ceases to be looked after on or after their 16th birthday, and is less than 26 years of age, is eligible (between the ages of 16 and 19) or potentially eligible (from the age of 19 up to 26) for aftercare. This applies to all care leavers regardless of the placement type while looked after.</w:t>
      </w:r>
    </w:p>
    <w:p w14:paraId="635ACC0F" w14:textId="601E0900" w:rsidR="00EC57FF" w:rsidRDefault="002B1D58" w:rsidP="00EC57FF">
      <w:hyperlink r:id="rId21" w:history="1">
        <w:r>
          <w:rPr>
            <w:rStyle w:val="Hyperlink"/>
          </w:rPr>
          <w:t>Guidance on the extension of aftercare</w:t>
        </w:r>
      </w:hyperlink>
      <w:r>
        <w:t xml:space="preserve"> </w:t>
      </w:r>
      <w:r w:rsidR="00EC57FF">
        <w:t>was published in November 2016.</w:t>
      </w:r>
    </w:p>
    <w:p w14:paraId="0782CF22" w14:textId="77777777" w:rsidR="00BD44D0" w:rsidRDefault="00BD44D0">
      <w:pPr>
        <w:suppressAutoHyphens w:val="0"/>
        <w:rPr>
          <w:rFonts w:eastAsia="Times New Roman"/>
          <w:b/>
          <w:bCs/>
          <w:color w:val="000000"/>
          <w:sz w:val="32"/>
          <w:szCs w:val="26"/>
        </w:rPr>
      </w:pPr>
      <w:r>
        <w:br w:type="page"/>
      </w:r>
    </w:p>
    <w:p w14:paraId="6ED0CB4A" w14:textId="40CCAFD8" w:rsidR="00EC57FF" w:rsidRDefault="4818E622" w:rsidP="00D06EF1">
      <w:pPr>
        <w:pStyle w:val="Heading2"/>
      </w:pPr>
      <w:bookmarkStart w:id="20" w:name="_Toc208838843"/>
      <w:bookmarkStart w:id="21" w:name="_Toc208839002"/>
      <w:r>
        <w:lastRenderedPageBreak/>
        <w:t>Appendix 2</w:t>
      </w:r>
      <w:r w:rsidR="311DC6B0">
        <w:t>:</w:t>
      </w:r>
      <w:r>
        <w:t xml:space="preserve"> The Policy Context</w:t>
      </w:r>
      <w:bookmarkEnd w:id="20"/>
      <w:bookmarkEnd w:id="21"/>
    </w:p>
    <w:p w14:paraId="5B13D064" w14:textId="77777777" w:rsidR="00EC57FF" w:rsidRDefault="00EC57FF" w:rsidP="00EC57FF">
      <w:r>
        <w:t>The values which underpin this guidance derive from the following policies:</w:t>
      </w:r>
    </w:p>
    <w:p w14:paraId="222E6592" w14:textId="783CB4A0" w:rsidR="00EC57FF" w:rsidRDefault="00EC57FF" w:rsidP="00EC57FF">
      <w:r>
        <w:t>Orkney’s Good Parenting Plan 2020-2025: Making the Promise real for Orkney’s Care Experienced children and young people</w:t>
      </w:r>
      <w:r w:rsidR="00474BE2">
        <w:t>.</w:t>
      </w:r>
      <w:r>
        <w:t xml:space="preserve"> </w:t>
      </w:r>
    </w:p>
    <w:p w14:paraId="0C923484" w14:textId="36803C34" w:rsidR="00EC57FF" w:rsidRDefault="00EC57FF" w:rsidP="00EC57FF">
      <w:r>
        <w:t>These are our bairns: a guide for community planning partnerships on being a good corporate parent Scottish Government (2008)</w:t>
      </w:r>
      <w:r w:rsidR="00474BE2">
        <w:t xml:space="preserve">: </w:t>
      </w:r>
      <w:hyperlink r:id="rId22" w:history="1">
        <w:r w:rsidR="00474BE2" w:rsidRPr="00D6466C">
          <w:rPr>
            <w:rStyle w:val="Hyperlink"/>
          </w:rPr>
          <w:t>https://www2.gov.scot/Resource/Doc/236882/0064989.pdf</w:t>
        </w:r>
      </w:hyperlink>
      <w:r>
        <w:t xml:space="preserve"> </w:t>
      </w:r>
    </w:p>
    <w:p w14:paraId="612A49DA" w14:textId="367AFD06" w:rsidR="00EC57FF" w:rsidRDefault="00EC57FF" w:rsidP="00EC57FF">
      <w:r>
        <w:t>Getting it Right for Every Child Scottish Government (2008)</w:t>
      </w:r>
      <w:r w:rsidR="00474BE2">
        <w:t xml:space="preserve">: </w:t>
      </w:r>
      <w:hyperlink r:id="rId23" w:history="1">
        <w:r w:rsidR="00474BE2" w:rsidRPr="00D6466C">
          <w:rPr>
            <w:rStyle w:val="Hyperlink"/>
          </w:rPr>
          <w:t>https://www2.gov.scot/resource/doc/238985/0065813.pdf</w:t>
        </w:r>
      </w:hyperlink>
      <w:r>
        <w:t xml:space="preserve"> </w:t>
      </w:r>
    </w:p>
    <w:p w14:paraId="350EF136" w14:textId="209700F5" w:rsidR="00EC57FF" w:rsidRDefault="00EC57FF" w:rsidP="00EC57FF">
      <w:r>
        <w:t>Getting it Right for Children and Families – A guide to getting it Right for Every Child (Scottish Government 2012)</w:t>
      </w:r>
      <w:r w:rsidR="00474BE2">
        <w:t>:</w:t>
      </w:r>
      <w:r>
        <w:t xml:space="preserve"> </w:t>
      </w:r>
      <w:hyperlink r:id="rId24" w:history="1">
        <w:r w:rsidR="00640D82" w:rsidRPr="00D6466C">
          <w:rPr>
            <w:rStyle w:val="Hyperlink"/>
          </w:rPr>
          <w:t>https://ihub.scot/media/1512/a-guide-to-getting-it-right-for-every-child.pdf</w:t>
        </w:r>
      </w:hyperlink>
      <w:r>
        <w:t xml:space="preserve"> </w:t>
      </w:r>
    </w:p>
    <w:p w14:paraId="19933B6D" w14:textId="0E956BE0" w:rsidR="00EC57FF" w:rsidRDefault="00EC57FF" w:rsidP="00EC57FF">
      <w:r>
        <w:t>Scottish Care Leavers Covenant</w:t>
      </w:r>
      <w:r w:rsidR="00474BE2">
        <w:t xml:space="preserve">: </w:t>
      </w:r>
      <w:hyperlink r:id="rId25" w:history="1">
        <w:r w:rsidR="00640D82" w:rsidRPr="00D6466C">
          <w:rPr>
            <w:rStyle w:val="Hyperlink"/>
          </w:rPr>
          <w:t>https://www.scottishcareleaverscovenant.org/</w:t>
        </w:r>
      </w:hyperlink>
      <w:r>
        <w:t xml:space="preserve"> </w:t>
      </w:r>
    </w:p>
    <w:p w14:paraId="11100CC2" w14:textId="77777777" w:rsidR="00EC57FF" w:rsidRDefault="00EC57FF" w:rsidP="00474BE2">
      <w:pPr>
        <w:pStyle w:val="EmphasisOIC"/>
      </w:pPr>
      <w:r>
        <w:t>Independent Care Review:</w:t>
      </w:r>
    </w:p>
    <w:p w14:paraId="2FC63762" w14:textId="5DF92D6F" w:rsidR="00EC57FF" w:rsidRDefault="00EC57FF" w:rsidP="00EC57FF">
      <w:r>
        <w:t>On 5 February 2020, the Care Review published</w:t>
      </w:r>
      <w:r w:rsidR="00DA5F84">
        <w:t xml:space="preserve"> the following</w:t>
      </w:r>
      <w:r>
        <w:t xml:space="preserve"> reports:</w:t>
      </w:r>
      <w:r w:rsidR="00922BC4">
        <w:t xml:space="preserve"> </w:t>
      </w:r>
    </w:p>
    <w:p w14:paraId="62477A53" w14:textId="186B88A5" w:rsidR="00EC57FF" w:rsidRDefault="00EC57FF" w:rsidP="00E338D1">
      <w:pPr>
        <w:pStyle w:val="ListParagraph"/>
      </w:pPr>
      <w:r>
        <w:t>The Promise and a ‘Pinky Promise’ for younger readers</w:t>
      </w:r>
      <w:r w:rsidR="00E338D1">
        <w:t>.</w:t>
      </w:r>
    </w:p>
    <w:p w14:paraId="6B2CA62E" w14:textId="2E6FF735" w:rsidR="00EC57FF" w:rsidRDefault="00EC57FF" w:rsidP="00E338D1">
      <w:pPr>
        <w:pStyle w:val="ListParagraph"/>
      </w:pPr>
      <w:r>
        <w:t>The Plan</w:t>
      </w:r>
      <w:r w:rsidR="00E338D1">
        <w:t>.</w:t>
      </w:r>
      <w:r>
        <w:t xml:space="preserve"> </w:t>
      </w:r>
    </w:p>
    <w:p w14:paraId="2AF01F5C" w14:textId="0C40D675" w:rsidR="00EC57FF" w:rsidRDefault="00E338D1" w:rsidP="00E338D1">
      <w:pPr>
        <w:pStyle w:val="ListParagraph"/>
      </w:pPr>
      <w:r>
        <w:t>T</w:t>
      </w:r>
      <w:r w:rsidR="00EC57FF">
        <w:t>he Money and Follow the Money</w:t>
      </w:r>
      <w:r>
        <w:t>.</w:t>
      </w:r>
    </w:p>
    <w:p w14:paraId="58EFCE95" w14:textId="0D3692E9" w:rsidR="00EC57FF" w:rsidRDefault="00EC57FF" w:rsidP="00E338D1">
      <w:pPr>
        <w:pStyle w:val="ListParagraph"/>
      </w:pPr>
      <w:r>
        <w:t>The Rules</w:t>
      </w:r>
      <w:r w:rsidR="00E338D1">
        <w:t>.</w:t>
      </w:r>
    </w:p>
    <w:p w14:paraId="02D512E2" w14:textId="79F37E06" w:rsidR="00EC57FF" w:rsidRDefault="00EC57FF" w:rsidP="00640D82">
      <w:pPr>
        <w:pStyle w:val="ListParagraph"/>
        <w:spacing w:after="240"/>
      </w:pPr>
      <w:r>
        <w:t>Thank you</w:t>
      </w:r>
      <w:r w:rsidR="00E338D1">
        <w:t>.</w:t>
      </w:r>
    </w:p>
    <w:p w14:paraId="43421908" w14:textId="77777777" w:rsidR="00EC57FF" w:rsidRDefault="00EC57FF" w:rsidP="00EC57FF">
      <w:r w:rsidRPr="00BD44D0">
        <w:rPr>
          <w:rStyle w:val="EmphasisOICChar"/>
        </w:rPr>
        <w:t>The Promise</w:t>
      </w:r>
      <w:r>
        <w:t xml:space="preserve"> tells Scotland what it must do to make sure its most vulnerable children feel loved and have the childhood they deserve. </w:t>
      </w:r>
    </w:p>
    <w:p w14:paraId="59C712D6" w14:textId="2083B98C" w:rsidR="00EC57FF" w:rsidRDefault="00EC57FF" w:rsidP="00EC57FF">
      <w:r w:rsidRPr="00BD44D0">
        <w:rPr>
          <w:rStyle w:val="EmphasisOICChar"/>
        </w:rPr>
        <w:t>The Plan</w:t>
      </w:r>
      <w:r>
        <w:t xml:space="preserve"> identifies how this change must happen.</w:t>
      </w:r>
      <w:r w:rsidR="00922BC4">
        <w:t xml:space="preserve"> </w:t>
      </w:r>
    </w:p>
    <w:p w14:paraId="452A7ECC" w14:textId="470B0ACE" w:rsidR="00EC57FF" w:rsidRDefault="00EC57FF" w:rsidP="00EC57FF">
      <w:r w:rsidRPr="00BD44D0">
        <w:rPr>
          <w:rStyle w:val="EmphasisOICChar"/>
        </w:rPr>
        <w:t>The Money and Follow the</w:t>
      </w:r>
      <w:r>
        <w:t xml:space="preserve"> </w:t>
      </w:r>
      <w:r w:rsidRPr="00BD44D0">
        <w:rPr>
          <w:rStyle w:val="EmphasisOICChar"/>
        </w:rPr>
        <w:t>Money</w:t>
      </w:r>
      <w:r>
        <w:t xml:space="preserve"> explain how Scotland can invest better in its children and families.</w:t>
      </w:r>
      <w:r w:rsidR="00922BC4">
        <w:t xml:space="preserve"> </w:t>
      </w:r>
    </w:p>
    <w:p w14:paraId="0A4F36E6" w14:textId="77777777" w:rsidR="00EC57FF" w:rsidRDefault="00EC57FF" w:rsidP="00EC57FF">
      <w:r w:rsidRPr="00BD44D0">
        <w:rPr>
          <w:rStyle w:val="EmphasisOICChar"/>
        </w:rPr>
        <w:t>The Rules</w:t>
      </w:r>
      <w:r>
        <w:t xml:space="preserve"> set out the current legislative framework and how it must change to achieve </w:t>
      </w:r>
      <w:r w:rsidRPr="00BD44D0">
        <w:rPr>
          <w:rStyle w:val="EmphasisOICChar"/>
        </w:rPr>
        <w:t>The Promise</w:t>
      </w:r>
      <w:r>
        <w:t xml:space="preserve">. </w:t>
      </w:r>
    </w:p>
    <w:p w14:paraId="1BF9C06B" w14:textId="206E4152" w:rsidR="00EC57FF" w:rsidRDefault="00EC57FF" w:rsidP="00EC57FF">
      <w:r>
        <w:t xml:space="preserve">The Independent Care Review directs that provision for care experienced young people should ensure that they are ‘loved, safe and respected and achieve their full potential’. Scotland should be a good parent for those it is responsible for. Emerging policy making between 2020 and 2030 (as set out in ‘The Plan’) will be directed to this end. </w:t>
      </w:r>
    </w:p>
    <w:p w14:paraId="57577873" w14:textId="51594797" w:rsidR="00EC57FF" w:rsidRDefault="00640D82" w:rsidP="00EC57FF">
      <w:hyperlink r:id="rId26" w:history="1">
        <w:r w:rsidRPr="00D6466C">
          <w:rPr>
            <w:rStyle w:val="Hyperlink"/>
          </w:rPr>
          <w:t>https://www.carereview.scot/conclusions/independent-care-review-reports/</w:t>
        </w:r>
      </w:hyperlink>
    </w:p>
    <w:p w14:paraId="51B4BABA" w14:textId="691C5581" w:rsidR="00EC57FF" w:rsidRDefault="00640D82" w:rsidP="00EC57FF">
      <w:hyperlink r:id="rId27" w:history="1">
        <w:r w:rsidRPr="00D6466C">
          <w:rPr>
            <w:rStyle w:val="Hyperlink"/>
          </w:rPr>
          <w:t>https://thepromise.scot/</w:t>
        </w:r>
      </w:hyperlink>
    </w:p>
    <w:p w14:paraId="12EA6692" w14:textId="7F09140B" w:rsidR="0084756E" w:rsidRPr="00301CE3" w:rsidRDefault="5801752B" w:rsidP="00EC57FF">
      <w:hyperlink r:id="rId28">
        <w:r w:rsidRPr="2B472196">
          <w:rPr>
            <w:rStyle w:val="Hyperlink"/>
          </w:rPr>
          <w:t>https://www.legislation.gov.uk/asp/2024/1/contents</w:t>
        </w:r>
      </w:hyperlink>
    </w:p>
    <w:p w14:paraId="19BCC86F" w14:textId="491F1095" w:rsidR="2B472196" w:rsidRDefault="2B472196">
      <w:r>
        <w:br w:type="page"/>
      </w:r>
    </w:p>
    <w:p w14:paraId="297A00A1" w14:textId="77777777" w:rsidR="0052217B" w:rsidRDefault="0052217B" w:rsidP="007D2DA3">
      <w:pPr>
        <w:pStyle w:val="Heading2"/>
      </w:pPr>
      <w:bookmarkStart w:id="22" w:name="_Toc208838844"/>
      <w:bookmarkStart w:id="23" w:name="_Toc208839003"/>
      <w:r>
        <w:lastRenderedPageBreak/>
        <w:t>Appendix 3: Operational Documents</w:t>
      </w:r>
      <w:bookmarkEnd w:id="22"/>
      <w:bookmarkEnd w:id="23"/>
    </w:p>
    <w:p w14:paraId="4876EBDE" w14:textId="77777777" w:rsidR="0052217B" w:rsidRDefault="0052217B" w:rsidP="007D2DA3">
      <w:pPr>
        <w:pStyle w:val="Heading3"/>
      </w:pPr>
      <w:bookmarkStart w:id="24" w:name="_Toc208838845"/>
      <w:r>
        <w:t>Orkney Throughcare and Aftercare Services</w:t>
      </w:r>
      <w:bookmarkEnd w:id="24"/>
    </w:p>
    <w:p w14:paraId="15437326" w14:textId="77777777" w:rsidR="0052217B" w:rsidRDefault="0052217B" w:rsidP="007D2DA3">
      <w:pPr>
        <w:pStyle w:val="Heading4"/>
      </w:pPr>
      <w:r>
        <w:t>Claim for Leaving Care Grant</w:t>
      </w:r>
    </w:p>
    <w:tbl>
      <w:tblPr>
        <w:tblStyle w:val="TableGrid"/>
        <w:tblW w:w="0" w:type="auto"/>
        <w:tblLayout w:type="fixed"/>
        <w:tblLook w:val="06A0" w:firstRow="1" w:lastRow="0" w:firstColumn="1" w:lastColumn="0" w:noHBand="1" w:noVBand="1"/>
      </w:tblPr>
      <w:tblGrid>
        <w:gridCol w:w="1815"/>
        <w:gridCol w:w="7200"/>
      </w:tblGrid>
      <w:tr w:rsidR="0052217B" w14:paraId="7D6C1B0E" w14:textId="77777777" w:rsidTr="00E07F5B">
        <w:trPr>
          <w:trHeight w:val="300"/>
        </w:trPr>
        <w:tc>
          <w:tcPr>
            <w:tcW w:w="1815" w:type="dxa"/>
          </w:tcPr>
          <w:p w14:paraId="57A547EE" w14:textId="77777777" w:rsidR="0052217B" w:rsidRDefault="0052217B" w:rsidP="007D2DA3">
            <w:pPr>
              <w:pStyle w:val="OICTable"/>
            </w:pPr>
            <w:r>
              <w:t>Name</w:t>
            </w:r>
          </w:p>
        </w:tc>
        <w:tc>
          <w:tcPr>
            <w:tcW w:w="7200" w:type="dxa"/>
          </w:tcPr>
          <w:p w14:paraId="7AC5481B" w14:textId="77777777" w:rsidR="0052217B" w:rsidRDefault="0052217B" w:rsidP="007D2DA3">
            <w:pPr>
              <w:pStyle w:val="OICTable"/>
            </w:pPr>
          </w:p>
        </w:tc>
      </w:tr>
      <w:tr w:rsidR="0052217B" w14:paraId="66B0F7CA" w14:textId="77777777" w:rsidTr="00E07F5B">
        <w:trPr>
          <w:trHeight w:val="300"/>
        </w:trPr>
        <w:tc>
          <w:tcPr>
            <w:tcW w:w="1815" w:type="dxa"/>
          </w:tcPr>
          <w:p w14:paraId="3756F3FA" w14:textId="77777777" w:rsidR="0052217B" w:rsidRDefault="0052217B" w:rsidP="007D2DA3">
            <w:pPr>
              <w:pStyle w:val="OICTable"/>
            </w:pPr>
            <w:r>
              <w:t>Address</w:t>
            </w:r>
          </w:p>
        </w:tc>
        <w:tc>
          <w:tcPr>
            <w:tcW w:w="7200" w:type="dxa"/>
          </w:tcPr>
          <w:p w14:paraId="1DDA9C75" w14:textId="77777777" w:rsidR="0052217B" w:rsidRDefault="0052217B" w:rsidP="007D2DA3">
            <w:pPr>
              <w:pStyle w:val="OICTable"/>
              <w:spacing w:after="1800"/>
            </w:pPr>
          </w:p>
        </w:tc>
      </w:tr>
      <w:tr w:rsidR="0052217B" w14:paraId="3CA4F649" w14:textId="77777777" w:rsidTr="00E07F5B">
        <w:trPr>
          <w:trHeight w:val="300"/>
        </w:trPr>
        <w:tc>
          <w:tcPr>
            <w:tcW w:w="1815" w:type="dxa"/>
          </w:tcPr>
          <w:p w14:paraId="2E1EDE92" w14:textId="77777777" w:rsidR="0052217B" w:rsidRDefault="0052217B" w:rsidP="007D2DA3">
            <w:pPr>
              <w:pStyle w:val="OICTable"/>
            </w:pPr>
            <w:r>
              <w:t>Date of Birth</w:t>
            </w:r>
          </w:p>
        </w:tc>
        <w:tc>
          <w:tcPr>
            <w:tcW w:w="7200" w:type="dxa"/>
          </w:tcPr>
          <w:p w14:paraId="714D46E0" w14:textId="77777777" w:rsidR="0052217B" w:rsidRDefault="0052217B" w:rsidP="007D2DA3">
            <w:pPr>
              <w:pStyle w:val="OICTable"/>
            </w:pPr>
          </w:p>
        </w:tc>
      </w:tr>
    </w:tbl>
    <w:p w14:paraId="260429E6" w14:textId="170A806E" w:rsidR="0084756E" w:rsidRDefault="0084756E" w:rsidP="2B472196">
      <w:pPr>
        <w:pStyle w:val="ListBullet"/>
        <w:numPr>
          <w:ilvl w:val="0"/>
          <w:numId w:val="0"/>
        </w:numPr>
      </w:pPr>
    </w:p>
    <w:p w14:paraId="55FF21A6" w14:textId="3A70069C" w:rsidR="0052217B" w:rsidRDefault="0052217B" w:rsidP="2B472196">
      <w:pPr>
        <w:pStyle w:val="ListBullet"/>
        <w:numPr>
          <w:ilvl w:val="0"/>
          <w:numId w:val="0"/>
        </w:numPr>
      </w:pPr>
      <w:r>
        <w:t>Social Worker to confirm details of eligibility (including length of time Looked After, care arrangements, legal status during this period):</w:t>
      </w:r>
    </w:p>
    <w:tbl>
      <w:tblPr>
        <w:tblStyle w:val="TableGrid"/>
        <w:tblW w:w="0" w:type="auto"/>
        <w:tblLook w:val="04A0" w:firstRow="1" w:lastRow="0" w:firstColumn="1" w:lastColumn="0" w:noHBand="0" w:noVBand="1"/>
      </w:tblPr>
      <w:tblGrid>
        <w:gridCol w:w="9016"/>
      </w:tblGrid>
      <w:tr w:rsidR="00E44D2B" w14:paraId="6593AC1F" w14:textId="77777777" w:rsidTr="00E44D2B">
        <w:tc>
          <w:tcPr>
            <w:tcW w:w="9016" w:type="dxa"/>
          </w:tcPr>
          <w:p w14:paraId="10ECC023" w14:textId="77777777" w:rsidR="00E44D2B" w:rsidRDefault="00E44D2B" w:rsidP="007D2DA3">
            <w:pPr>
              <w:pStyle w:val="ListBullet"/>
              <w:numPr>
                <w:ilvl w:val="0"/>
                <w:numId w:val="0"/>
              </w:numPr>
              <w:spacing w:after="2160"/>
            </w:pPr>
          </w:p>
        </w:tc>
      </w:tr>
    </w:tbl>
    <w:p w14:paraId="61A5183D" w14:textId="77777777" w:rsidR="0052217B" w:rsidRDefault="0052217B" w:rsidP="2B472196">
      <w:pPr>
        <w:pStyle w:val="ListBullet"/>
        <w:numPr>
          <w:ilvl w:val="0"/>
          <w:numId w:val="0"/>
        </w:numPr>
      </w:pPr>
    </w:p>
    <w:p w14:paraId="1236F292" w14:textId="2CD64156" w:rsidR="00E44D2B" w:rsidRDefault="00E44D2B" w:rsidP="2B472196">
      <w:pPr>
        <w:pStyle w:val="ListBullet"/>
        <w:numPr>
          <w:ilvl w:val="0"/>
          <w:numId w:val="0"/>
        </w:numPr>
      </w:pPr>
      <w:r>
        <w:t>Record of payments (maximum of £2,000 available; must be claimed prior to 26</w:t>
      </w:r>
      <w:r w:rsidRPr="007D2DA3">
        <w:rPr>
          <w:vertAlign w:val="superscript"/>
        </w:rPr>
        <w:t>th</w:t>
      </w:r>
      <w:r>
        <w:t xml:space="preserve"> birthday)</w:t>
      </w:r>
    </w:p>
    <w:tbl>
      <w:tblPr>
        <w:tblStyle w:val="TableGrid"/>
        <w:tblW w:w="0" w:type="auto"/>
        <w:tblLook w:val="04A0" w:firstRow="1" w:lastRow="0" w:firstColumn="1" w:lastColumn="0" w:noHBand="0" w:noVBand="1"/>
      </w:tblPr>
      <w:tblGrid>
        <w:gridCol w:w="1129"/>
        <w:gridCol w:w="1418"/>
        <w:gridCol w:w="3544"/>
        <w:gridCol w:w="1559"/>
        <w:gridCol w:w="1366"/>
      </w:tblGrid>
      <w:tr w:rsidR="00E44D2B" w14:paraId="2BCFF458" w14:textId="77777777" w:rsidTr="007D2DA3">
        <w:tc>
          <w:tcPr>
            <w:tcW w:w="1129" w:type="dxa"/>
          </w:tcPr>
          <w:p w14:paraId="1118ACB9" w14:textId="1748D67D" w:rsidR="00E44D2B" w:rsidRDefault="00E44D2B" w:rsidP="007D2DA3">
            <w:pPr>
              <w:pStyle w:val="OICTable"/>
            </w:pPr>
            <w:r>
              <w:t>Date</w:t>
            </w:r>
          </w:p>
        </w:tc>
        <w:tc>
          <w:tcPr>
            <w:tcW w:w="1418" w:type="dxa"/>
          </w:tcPr>
          <w:p w14:paraId="7AA6EA1A" w14:textId="1304E202" w:rsidR="00E44D2B" w:rsidRDefault="00E44D2B" w:rsidP="007D2DA3">
            <w:pPr>
              <w:pStyle w:val="OICTable"/>
            </w:pPr>
            <w:r>
              <w:t>Amount</w:t>
            </w:r>
          </w:p>
        </w:tc>
        <w:tc>
          <w:tcPr>
            <w:tcW w:w="3544" w:type="dxa"/>
          </w:tcPr>
          <w:p w14:paraId="706FF0C9" w14:textId="015EE261" w:rsidR="00E44D2B" w:rsidRDefault="00E44D2B" w:rsidP="007D2DA3">
            <w:pPr>
              <w:pStyle w:val="OICTable"/>
            </w:pPr>
            <w:r>
              <w:t>Reason for expenditure</w:t>
            </w:r>
          </w:p>
        </w:tc>
        <w:tc>
          <w:tcPr>
            <w:tcW w:w="1559" w:type="dxa"/>
          </w:tcPr>
          <w:p w14:paraId="11754D47" w14:textId="4CC59043" w:rsidR="00E44D2B" w:rsidRDefault="00E44D2B" w:rsidP="007D2DA3">
            <w:pPr>
              <w:pStyle w:val="OICTable"/>
            </w:pPr>
            <w:r>
              <w:t>Balance</w:t>
            </w:r>
          </w:p>
        </w:tc>
        <w:tc>
          <w:tcPr>
            <w:tcW w:w="1366" w:type="dxa"/>
          </w:tcPr>
          <w:p w14:paraId="5C2252D1" w14:textId="3931335C" w:rsidR="00E44D2B" w:rsidRDefault="00E44D2B" w:rsidP="007D2DA3">
            <w:pPr>
              <w:pStyle w:val="OICTable"/>
            </w:pPr>
            <w:r>
              <w:t>Signed</w:t>
            </w:r>
          </w:p>
        </w:tc>
      </w:tr>
      <w:tr w:rsidR="00E44D2B" w14:paraId="271B0574" w14:textId="77777777" w:rsidTr="007D2DA3">
        <w:tc>
          <w:tcPr>
            <w:tcW w:w="1129" w:type="dxa"/>
          </w:tcPr>
          <w:p w14:paraId="63DD9455" w14:textId="77777777" w:rsidR="00E44D2B" w:rsidRDefault="00E44D2B" w:rsidP="007D2DA3">
            <w:pPr>
              <w:pStyle w:val="OICTable"/>
            </w:pPr>
          </w:p>
        </w:tc>
        <w:tc>
          <w:tcPr>
            <w:tcW w:w="1418" w:type="dxa"/>
          </w:tcPr>
          <w:p w14:paraId="46905BD7" w14:textId="77777777" w:rsidR="00E44D2B" w:rsidRDefault="00E44D2B" w:rsidP="007D2DA3">
            <w:pPr>
              <w:pStyle w:val="OICTable"/>
            </w:pPr>
          </w:p>
        </w:tc>
        <w:tc>
          <w:tcPr>
            <w:tcW w:w="3544" w:type="dxa"/>
          </w:tcPr>
          <w:p w14:paraId="2B203494" w14:textId="77777777" w:rsidR="00E44D2B" w:rsidRDefault="00E44D2B" w:rsidP="007D2DA3">
            <w:pPr>
              <w:pStyle w:val="OICTable"/>
            </w:pPr>
          </w:p>
        </w:tc>
        <w:tc>
          <w:tcPr>
            <w:tcW w:w="1559" w:type="dxa"/>
          </w:tcPr>
          <w:p w14:paraId="0D8DD3B5" w14:textId="77777777" w:rsidR="00E44D2B" w:rsidRDefault="00E44D2B" w:rsidP="007D2DA3">
            <w:pPr>
              <w:pStyle w:val="OICTable"/>
            </w:pPr>
          </w:p>
        </w:tc>
        <w:tc>
          <w:tcPr>
            <w:tcW w:w="1366" w:type="dxa"/>
          </w:tcPr>
          <w:p w14:paraId="14FF743D" w14:textId="77777777" w:rsidR="00E44D2B" w:rsidRDefault="00E44D2B" w:rsidP="007D2DA3">
            <w:pPr>
              <w:pStyle w:val="OICTable"/>
            </w:pPr>
          </w:p>
        </w:tc>
      </w:tr>
      <w:tr w:rsidR="00E44D2B" w14:paraId="05375F67" w14:textId="77777777" w:rsidTr="007D2DA3">
        <w:tc>
          <w:tcPr>
            <w:tcW w:w="1129" w:type="dxa"/>
          </w:tcPr>
          <w:p w14:paraId="52ACFCF2" w14:textId="77777777" w:rsidR="00E44D2B" w:rsidRDefault="00E44D2B" w:rsidP="007D2DA3">
            <w:pPr>
              <w:pStyle w:val="OICTable"/>
            </w:pPr>
          </w:p>
        </w:tc>
        <w:tc>
          <w:tcPr>
            <w:tcW w:w="1418" w:type="dxa"/>
          </w:tcPr>
          <w:p w14:paraId="5170A688" w14:textId="77777777" w:rsidR="00E44D2B" w:rsidRDefault="00E44D2B" w:rsidP="007D2DA3">
            <w:pPr>
              <w:pStyle w:val="OICTable"/>
            </w:pPr>
          </w:p>
        </w:tc>
        <w:tc>
          <w:tcPr>
            <w:tcW w:w="3544" w:type="dxa"/>
          </w:tcPr>
          <w:p w14:paraId="69B18858" w14:textId="77777777" w:rsidR="00E44D2B" w:rsidRDefault="00E44D2B" w:rsidP="007D2DA3">
            <w:pPr>
              <w:pStyle w:val="OICTable"/>
            </w:pPr>
          </w:p>
        </w:tc>
        <w:tc>
          <w:tcPr>
            <w:tcW w:w="1559" w:type="dxa"/>
          </w:tcPr>
          <w:p w14:paraId="5AC8891C" w14:textId="77777777" w:rsidR="00E44D2B" w:rsidRDefault="00E44D2B" w:rsidP="007D2DA3">
            <w:pPr>
              <w:pStyle w:val="OICTable"/>
            </w:pPr>
          </w:p>
        </w:tc>
        <w:tc>
          <w:tcPr>
            <w:tcW w:w="1366" w:type="dxa"/>
          </w:tcPr>
          <w:p w14:paraId="5A40DBA6" w14:textId="77777777" w:rsidR="00E44D2B" w:rsidRDefault="00E44D2B" w:rsidP="007D2DA3">
            <w:pPr>
              <w:pStyle w:val="OICTable"/>
            </w:pPr>
          </w:p>
        </w:tc>
      </w:tr>
      <w:tr w:rsidR="00E44D2B" w14:paraId="4F3C747F" w14:textId="77777777" w:rsidTr="007D2DA3">
        <w:tc>
          <w:tcPr>
            <w:tcW w:w="1129" w:type="dxa"/>
          </w:tcPr>
          <w:p w14:paraId="38539BB4" w14:textId="77777777" w:rsidR="00E44D2B" w:rsidRDefault="00E44D2B" w:rsidP="007D2DA3">
            <w:pPr>
              <w:pStyle w:val="OICTable"/>
            </w:pPr>
          </w:p>
        </w:tc>
        <w:tc>
          <w:tcPr>
            <w:tcW w:w="1418" w:type="dxa"/>
          </w:tcPr>
          <w:p w14:paraId="7A892573" w14:textId="77777777" w:rsidR="00E44D2B" w:rsidRDefault="00E44D2B" w:rsidP="007D2DA3">
            <w:pPr>
              <w:pStyle w:val="OICTable"/>
            </w:pPr>
          </w:p>
        </w:tc>
        <w:tc>
          <w:tcPr>
            <w:tcW w:w="3544" w:type="dxa"/>
          </w:tcPr>
          <w:p w14:paraId="7A6E9D8B" w14:textId="77777777" w:rsidR="00E44D2B" w:rsidRDefault="00E44D2B" w:rsidP="007D2DA3">
            <w:pPr>
              <w:pStyle w:val="OICTable"/>
            </w:pPr>
          </w:p>
        </w:tc>
        <w:tc>
          <w:tcPr>
            <w:tcW w:w="1559" w:type="dxa"/>
          </w:tcPr>
          <w:p w14:paraId="009EC593" w14:textId="77777777" w:rsidR="00E44D2B" w:rsidRDefault="00E44D2B" w:rsidP="007D2DA3">
            <w:pPr>
              <w:pStyle w:val="OICTable"/>
            </w:pPr>
          </w:p>
        </w:tc>
        <w:tc>
          <w:tcPr>
            <w:tcW w:w="1366" w:type="dxa"/>
          </w:tcPr>
          <w:p w14:paraId="660E576A" w14:textId="77777777" w:rsidR="00E44D2B" w:rsidRDefault="00E44D2B" w:rsidP="007D2DA3">
            <w:pPr>
              <w:pStyle w:val="OICTable"/>
            </w:pPr>
          </w:p>
        </w:tc>
      </w:tr>
      <w:tr w:rsidR="00E44D2B" w14:paraId="0892D8B6" w14:textId="77777777" w:rsidTr="007D2DA3">
        <w:tc>
          <w:tcPr>
            <w:tcW w:w="1129" w:type="dxa"/>
          </w:tcPr>
          <w:p w14:paraId="5D4DFC29" w14:textId="77777777" w:rsidR="00E44D2B" w:rsidRDefault="00E44D2B" w:rsidP="007D2DA3">
            <w:pPr>
              <w:pStyle w:val="OICTable"/>
            </w:pPr>
          </w:p>
        </w:tc>
        <w:tc>
          <w:tcPr>
            <w:tcW w:w="1418" w:type="dxa"/>
          </w:tcPr>
          <w:p w14:paraId="13CF8A70" w14:textId="77777777" w:rsidR="00E44D2B" w:rsidRDefault="00E44D2B" w:rsidP="007D2DA3">
            <w:pPr>
              <w:pStyle w:val="OICTable"/>
            </w:pPr>
          </w:p>
        </w:tc>
        <w:tc>
          <w:tcPr>
            <w:tcW w:w="3544" w:type="dxa"/>
          </w:tcPr>
          <w:p w14:paraId="1BFEA07D" w14:textId="77777777" w:rsidR="00E44D2B" w:rsidRDefault="00E44D2B" w:rsidP="007D2DA3">
            <w:pPr>
              <w:pStyle w:val="OICTable"/>
            </w:pPr>
          </w:p>
        </w:tc>
        <w:tc>
          <w:tcPr>
            <w:tcW w:w="1559" w:type="dxa"/>
          </w:tcPr>
          <w:p w14:paraId="125F9EEC" w14:textId="77777777" w:rsidR="00E44D2B" w:rsidRDefault="00E44D2B" w:rsidP="007D2DA3">
            <w:pPr>
              <w:pStyle w:val="OICTable"/>
            </w:pPr>
          </w:p>
        </w:tc>
        <w:tc>
          <w:tcPr>
            <w:tcW w:w="1366" w:type="dxa"/>
          </w:tcPr>
          <w:p w14:paraId="79609075" w14:textId="77777777" w:rsidR="00E44D2B" w:rsidRDefault="00E44D2B" w:rsidP="007D2DA3">
            <w:pPr>
              <w:pStyle w:val="OICTable"/>
            </w:pPr>
          </w:p>
        </w:tc>
      </w:tr>
      <w:tr w:rsidR="00E44D2B" w14:paraId="6CAC84D3" w14:textId="77777777" w:rsidTr="007D2DA3">
        <w:tc>
          <w:tcPr>
            <w:tcW w:w="1129" w:type="dxa"/>
          </w:tcPr>
          <w:p w14:paraId="04906981" w14:textId="77777777" w:rsidR="00E44D2B" w:rsidRDefault="00E44D2B" w:rsidP="007D2DA3">
            <w:pPr>
              <w:pStyle w:val="OICTable"/>
            </w:pPr>
          </w:p>
        </w:tc>
        <w:tc>
          <w:tcPr>
            <w:tcW w:w="1418" w:type="dxa"/>
          </w:tcPr>
          <w:p w14:paraId="332C33DC" w14:textId="77777777" w:rsidR="00E44D2B" w:rsidRDefault="00E44D2B" w:rsidP="007D2DA3">
            <w:pPr>
              <w:pStyle w:val="OICTable"/>
            </w:pPr>
          </w:p>
        </w:tc>
        <w:tc>
          <w:tcPr>
            <w:tcW w:w="3544" w:type="dxa"/>
          </w:tcPr>
          <w:p w14:paraId="41CE4907" w14:textId="77777777" w:rsidR="00E44D2B" w:rsidRDefault="00E44D2B" w:rsidP="007D2DA3">
            <w:pPr>
              <w:pStyle w:val="OICTable"/>
            </w:pPr>
          </w:p>
        </w:tc>
        <w:tc>
          <w:tcPr>
            <w:tcW w:w="1559" w:type="dxa"/>
          </w:tcPr>
          <w:p w14:paraId="21D45DAC" w14:textId="77777777" w:rsidR="00E44D2B" w:rsidRDefault="00E44D2B" w:rsidP="007D2DA3">
            <w:pPr>
              <w:pStyle w:val="OICTable"/>
            </w:pPr>
          </w:p>
        </w:tc>
        <w:tc>
          <w:tcPr>
            <w:tcW w:w="1366" w:type="dxa"/>
          </w:tcPr>
          <w:p w14:paraId="6B1A57F0" w14:textId="77777777" w:rsidR="00E44D2B" w:rsidRDefault="00E44D2B" w:rsidP="007D2DA3">
            <w:pPr>
              <w:pStyle w:val="OICTable"/>
            </w:pPr>
          </w:p>
        </w:tc>
      </w:tr>
      <w:tr w:rsidR="008E0F29" w14:paraId="7F98E357" w14:textId="77777777" w:rsidTr="00E44D2B">
        <w:tc>
          <w:tcPr>
            <w:tcW w:w="1129" w:type="dxa"/>
          </w:tcPr>
          <w:p w14:paraId="6D6E05A2" w14:textId="77777777" w:rsidR="008E0F29" w:rsidRDefault="008E0F29" w:rsidP="008E0F29">
            <w:pPr>
              <w:pStyle w:val="OICTable"/>
            </w:pPr>
          </w:p>
        </w:tc>
        <w:tc>
          <w:tcPr>
            <w:tcW w:w="1418" w:type="dxa"/>
          </w:tcPr>
          <w:p w14:paraId="30DB052C" w14:textId="77777777" w:rsidR="008E0F29" w:rsidRDefault="008E0F29" w:rsidP="008E0F29">
            <w:pPr>
              <w:pStyle w:val="OICTable"/>
            </w:pPr>
          </w:p>
        </w:tc>
        <w:tc>
          <w:tcPr>
            <w:tcW w:w="3544" w:type="dxa"/>
          </w:tcPr>
          <w:p w14:paraId="5D62436C" w14:textId="77777777" w:rsidR="008E0F29" w:rsidRDefault="008E0F29" w:rsidP="008E0F29">
            <w:pPr>
              <w:pStyle w:val="OICTable"/>
            </w:pPr>
          </w:p>
        </w:tc>
        <w:tc>
          <w:tcPr>
            <w:tcW w:w="1559" w:type="dxa"/>
          </w:tcPr>
          <w:p w14:paraId="1DC1694B" w14:textId="77777777" w:rsidR="008E0F29" w:rsidRDefault="008E0F29" w:rsidP="008E0F29">
            <w:pPr>
              <w:pStyle w:val="OICTable"/>
            </w:pPr>
          </w:p>
        </w:tc>
        <w:tc>
          <w:tcPr>
            <w:tcW w:w="1366" w:type="dxa"/>
          </w:tcPr>
          <w:p w14:paraId="1FF11AAB" w14:textId="77777777" w:rsidR="008E0F29" w:rsidRDefault="008E0F29" w:rsidP="008E0F29">
            <w:pPr>
              <w:pStyle w:val="OICTable"/>
            </w:pPr>
          </w:p>
        </w:tc>
      </w:tr>
      <w:tr w:rsidR="008E0F29" w14:paraId="41E6637F" w14:textId="77777777" w:rsidTr="00E44D2B">
        <w:tc>
          <w:tcPr>
            <w:tcW w:w="1129" w:type="dxa"/>
          </w:tcPr>
          <w:p w14:paraId="1A69D726" w14:textId="77777777" w:rsidR="008E0F29" w:rsidRDefault="008E0F29" w:rsidP="008E0F29">
            <w:pPr>
              <w:pStyle w:val="OICTable"/>
            </w:pPr>
          </w:p>
        </w:tc>
        <w:tc>
          <w:tcPr>
            <w:tcW w:w="1418" w:type="dxa"/>
          </w:tcPr>
          <w:p w14:paraId="696F7B42" w14:textId="77777777" w:rsidR="008E0F29" w:rsidRDefault="008E0F29" w:rsidP="008E0F29">
            <w:pPr>
              <w:pStyle w:val="OICTable"/>
            </w:pPr>
          </w:p>
        </w:tc>
        <w:tc>
          <w:tcPr>
            <w:tcW w:w="3544" w:type="dxa"/>
          </w:tcPr>
          <w:p w14:paraId="74D8847D" w14:textId="77777777" w:rsidR="008E0F29" w:rsidRDefault="008E0F29" w:rsidP="008E0F29">
            <w:pPr>
              <w:pStyle w:val="OICTable"/>
            </w:pPr>
          </w:p>
        </w:tc>
        <w:tc>
          <w:tcPr>
            <w:tcW w:w="1559" w:type="dxa"/>
          </w:tcPr>
          <w:p w14:paraId="315FB6BB" w14:textId="77777777" w:rsidR="008E0F29" w:rsidRDefault="008E0F29" w:rsidP="008E0F29">
            <w:pPr>
              <w:pStyle w:val="OICTable"/>
            </w:pPr>
          </w:p>
        </w:tc>
        <w:tc>
          <w:tcPr>
            <w:tcW w:w="1366" w:type="dxa"/>
          </w:tcPr>
          <w:p w14:paraId="3FF1FF92" w14:textId="77777777" w:rsidR="008E0F29" w:rsidRDefault="008E0F29" w:rsidP="008E0F29">
            <w:pPr>
              <w:pStyle w:val="OICTable"/>
            </w:pPr>
          </w:p>
        </w:tc>
      </w:tr>
      <w:tr w:rsidR="008E0F29" w14:paraId="28B7D7A5" w14:textId="77777777" w:rsidTr="00E44D2B">
        <w:tc>
          <w:tcPr>
            <w:tcW w:w="1129" w:type="dxa"/>
          </w:tcPr>
          <w:p w14:paraId="1DFE00EF" w14:textId="77777777" w:rsidR="008E0F29" w:rsidRDefault="008E0F29" w:rsidP="008E0F29">
            <w:pPr>
              <w:pStyle w:val="OICTable"/>
            </w:pPr>
          </w:p>
        </w:tc>
        <w:tc>
          <w:tcPr>
            <w:tcW w:w="1418" w:type="dxa"/>
          </w:tcPr>
          <w:p w14:paraId="347695FC" w14:textId="77777777" w:rsidR="008E0F29" w:rsidRDefault="008E0F29" w:rsidP="008E0F29">
            <w:pPr>
              <w:pStyle w:val="OICTable"/>
            </w:pPr>
          </w:p>
        </w:tc>
        <w:tc>
          <w:tcPr>
            <w:tcW w:w="3544" w:type="dxa"/>
          </w:tcPr>
          <w:p w14:paraId="4464B120" w14:textId="77777777" w:rsidR="008E0F29" w:rsidRDefault="008E0F29" w:rsidP="008E0F29">
            <w:pPr>
              <w:pStyle w:val="OICTable"/>
            </w:pPr>
          </w:p>
        </w:tc>
        <w:tc>
          <w:tcPr>
            <w:tcW w:w="1559" w:type="dxa"/>
          </w:tcPr>
          <w:p w14:paraId="65EBE486" w14:textId="77777777" w:rsidR="008E0F29" w:rsidRDefault="008E0F29" w:rsidP="008E0F29">
            <w:pPr>
              <w:pStyle w:val="OICTable"/>
            </w:pPr>
          </w:p>
        </w:tc>
        <w:tc>
          <w:tcPr>
            <w:tcW w:w="1366" w:type="dxa"/>
          </w:tcPr>
          <w:p w14:paraId="25AAE8F5" w14:textId="77777777" w:rsidR="008E0F29" w:rsidRDefault="008E0F29" w:rsidP="008E0F29">
            <w:pPr>
              <w:pStyle w:val="OICTable"/>
            </w:pPr>
          </w:p>
        </w:tc>
      </w:tr>
      <w:tr w:rsidR="008E0F29" w14:paraId="34410C92" w14:textId="77777777" w:rsidTr="00E44D2B">
        <w:tc>
          <w:tcPr>
            <w:tcW w:w="1129" w:type="dxa"/>
          </w:tcPr>
          <w:p w14:paraId="588275A1" w14:textId="77777777" w:rsidR="008E0F29" w:rsidRDefault="008E0F29" w:rsidP="008E0F29">
            <w:pPr>
              <w:pStyle w:val="OICTable"/>
            </w:pPr>
          </w:p>
        </w:tc>
        <w:tc>
          <w:tcPr>
            <w:tcW w:w="1418" w:type="dxa"/>
          </w:tcPr>
          <w:p w14:paraId="1FE793C2" w14:textId="77777777" w:rsidR="008E0F29" w:rsidRDefault="008E0F29" w:rsidP="008E0F29">
            <w:pPr>
              <w:pStyle w:val="OICTable"/>
            </w:pPr>
          </w:p>
        </w:tc>
        <w:tc>
          <w:tcPr>
            <w:tcW w:w="3544" w:type="dxa"/>
          </w:tcPr>
          <w:p w14:paraId="121C2D08" w14:textId="77777777" w:rsidR="008E0F29" w:rsidRDefault="008E0F29" w:rsidP="008E0F29">
            <w:pPr>
              <w:pStyle w:val="OICTable"/>
            </w:pPr>
          </w:p>
        </w:tc>
        <w:tc>
          <w:tcPr>
            <w:tcW w:w="1559" w:type="dxa"/>
          </w:tcPr>
          <w:p w14:paraId="5DF83E2E" w14:textId="77777777" w:rsidR="008E0F29" w:rsidRDefault="008E0F29" w:rsidP="008E0F29">
            <w:pPr>
              <w:pStyle w:val="OICTable"/>
            </w:pPr>
          </w:p>
        </w:tc>
        <w:tc>
          <w:tcPr>
            <w:tcW w:w="1366" w:type="dxa"/>
          </w:tcPr>
          <w:p w14:paraId="17766658" w14:textId="77777777" w:rsidR="008E0F29" w:rsidRDefault="008E0F29" w:rsidP="008E0F29">
            <w:pPr>
              <w:pStyle w:val="OICTable"/>
            </w:pPr>
          </w:p>
        </w:tc>
      </w:tr>
      <w:tr w:rsidR="008E0F29" w14:paraId="7EA1DDCE" w14:textId="77777777" w:rsidTr="00E44D2B">
        <w:tc>
          <w:tcPr>
            <w:tcW w:w="1129" w:type="dxa"/>
          </w:tcPr>
          <w:p w14:paraId="0BB83732" w14:textId="77777777" w:rsidR="008E0F29" w:rsidRDefault="008E0F29" w:rsidP="008E0F29">
            <w:pPr>
              <w:pStyle w:val="OICTable"/>
            </w:pPr>
          </w:p>
        </w:tc>
        <w:tc>
          <w:tcPr>
            <w:tcW w:w="1418" w:type="dxa"/>
          </w:tcPr>
          <w:p w14:paraId="352A38DB" w14:textId="77777777" w:rsidR="008E0F29" w:rsidRDefault="008E0F29" w:rsidP="008E0F29">
            <w:pPr>
              <w:pStyle w:val="OICTable"/>
            </w:pPr>
          </w:p>
        </w:tc>
        <w:tc>
          <w:tcPr>
            <w:tcW w:w="3544" w:type="dxa"/>
          </w:tcPr>
          <w:p w14:paraId="2FD3EC2C" w14:textId="77777777" w:rsidR="008E0F29" w:rsidRDefault="008E0F29" w:rsidP="008E0F29">
            <w:pPr>
              <w:pStyle w:val="OICTable"/>
            </w:pPr>
          </w:p>
        </w:tc>
        <w:tc>
          <w:tcPr>
            <w:tcW w:w="1559" w:type="dxa"/>
          </w:tcPr>
          <w:p w14:paraId="701819D1" w14:textId="77777777" w:rsidR="008E0F29" w:rsidRDefault="008E0F29" w:rsidP="008E0F29">
            <w:pPr>
              <w:pStyle w:val="OICTable"/>
            </w:pPr>
          </w:p>
        </w:tc>
        <w:tc>
          <w:tcPr>
            <w:tcW w:w="1366" w:type="dxa"/>
          </w:tcPr>
          <w:p w14:paraId="67A34BDA" w14:textId="77777777" w:rsidR="008E0F29" w:rsidRDefault="008E0F29" w:rsidP="008E0F29">
            <w:pPr>
              <w:pStyle w:val="OICTable"/>
            </w:pPr>
          </w:p>
        </w:tc>
      </w:tr>
    </w:tbl>
    <w:p w14:paraId="0D258682" w14:textId="77777777" w:rsidR="00E44D2B" w:rsidRDefault="00E44D2B" w:rsidP="2B472196">
      <w:pPr>
        <w:pStyle w:val="ListBullet"/>
        <w:numPr>
          <w:ilvl w:val="0"/>
          <w:numId w:val="0"/>
        </w:numPr>
      </w:pPr>
    </w:p>
    <w:p w14:paraId="09651B36" w14:textId="6A268750" w:rsidR="00C35DC6" w:rsidRDefault="00C35DC6" w:rsidP="007D2DA3">
      <w:pPr>
        <w:pStyle w:val="Heading3"/>
      </w:pPr>
      <w:bookmarkStart w:id="25" w:name="_Toc208838846"/>
      <w:r>
        <w:lastRenderedPageBreak/>
        <w:t>Orkney Throughcare and Aftercare Services</w:t>
      </w:r>
      <w:bookmarkEnd w:id="25"/>
    </w:p>
    <w:p w14:paraId="46537DBE" w14:textId="55FD6A90" w:rsidR="00C35DC6" w:rsidRDefault="00C35DC6" w:rsidP="007D2DA3">
      <w:pPr>
        <w:pStyle w:val="Heading4"/>
      </w:pPr>
      <w:r>
        <w:t>Request for Additional Payments</w:t>
      </w:r>
    </w:p>
    <w:tbl>
      <w:tblPr>
        <w:tblStyle w:val="TableGrid"/>
        <w:tblW w:w="0" w:type="auto"/>
        <w:tblLayout w:type="fixed"/>
        <w:tblLook w:val="06A0" w:firstRow="1" w:lastRow="0" w:firstColumn="1" w:lastColumn="0" w:noHBand="1" w:noVBand="1"/>
      </w:tblPr>
      <w:tblGrid>
        <w:gridCol w:w="2263"/>
        <w:gridCol w:w="6752"/>
      </w:tblGrid>
      <w:tr w:rsidR="00C35DC6" w14:paraId="7B97116B" w14:textId="77777777" w:rsidTr="007D2DA3">
        <w:trPr>
          <w:trHeight w:val="300"/>
        </w:trPr>
        <w:tc>
          <w:tcPr>
            <w:tcW w:w="2263" w:type="dxa"/>
          </w:tcPr>
          <w:p w14:paraId="2BD9D864" w14:textId="77777777" w:rsidR="00C35DC6" w:rsidRDefault="00C35DC6" w:rsidP="007D2DA3">
            <w:pPr>
              <w:pStyle w:val="OICTable"/>
            </w:pPr>
            <w:r>
              <w:t>Name</w:t>
            </w:r>
          </w:p>
        </w:tc>
        <w:tc>
          <w:tcPr>
            <w:tcW w:w="6752" w:type="dxa"/>
          </w:tcPr>
          <w:p w14:paraId="5F4F2DA6" w14:textId="77777777" w:rsidR="00C35DC6" w:rsidRDefault="00C35DC6" w:rsidP="007D2DA3">
            <w:pPr>
              <w:pStyle w:val="OICTable"/>
            </w:pPr>
          </w:p>
        </w:tc>
      </w:tr>
      <w:tr w:rsidR="00C35DC6" w14:paraId="7EBC2E9A" w14:textId="77777777" w:rsidTr="007D2DA3">
        <w:trPr>
          <w:trHeight w:val="300"/>
        </w:trPr>
        <w:tc>
          <w:tcPr>
            <w:tcW w:w="2263" w:type="dxa"/>
          </w:tcPr>
          <w:p w14:paraId="6D842716" w14:textId="77777777" w:rsidR="00C35DC6" w:rsidRDefault="00C35DC6" w:rsidP="007D2DA3">
            <w:pPr>
              <w:pStyle w:val="OICTable"/>
            </w:pPr>
            <w:r>
              <w:t>Address</w:t>
            </w:r>
          </w:p>
        </w:tc>
        <w:tc>
          <w:tcPr>
            <w:tcW w:w="6752" w:type="dxa"/>
          </w:tcPr>
          <w:p w14:paraId="01DC6285" w14:textId="77777777" w:rsidR="00C35DC6" w:rsidRDefault="00C35DC6" w:rsidP="007D2DA3">
            <w:pPr>
              <w:pStyle w:val="OICTable"/>
              <w:spacing w:after="1800"/>
            </w:pPr>
          </w:p>
        </w:tc>
      </w:tr>
      <w:tr w:rsidR="00C35DC6" w14:paraId="69E0330B" w14:textId="77777777" w:rsidTr="007D2DA3">
        <w:trPr>
          <w:trHeight w:val="300"/>
        </w:trPr>
        <w:tc>
          <w:tcPr>
            <w:tcW w:w="2263" w:type="dxa"/>
          </w:tcPr>
          <w:p w14:paraId="1454C32F" w14:textId="77777777" w:rsidR="00C35DC6" w:rsidRDefault="00C35DC6" w:rsidP="007D2DA3">
            <w:pPr>
              <w:pStyle w:val="OICTable"/>
            </w:pPr>
            <w:r>
              <w:t>Date of Birth</w:t>
            </w:r>
          </w:p>
        </w:tc>
        <w:tc>
          <w:tcPr>
            <w:tcW w:w="6752" w:type="dxa"/>
          </w:tcPr>
          <w:p w14:paraId="12D0A896" w14:textId="77777777" w:rsidR="00C35DC6" w:rsidRDefault="00C35DC6" w:rsidP="007D2DA3">
            <w:pPr>
              <w:pStyle w:val="OICTable"/>
            </w:pPr>
          </w:p>
        </w:tc>
      </w:tr>
      <w:tr w:rsidR="00C35DC6" w14:paraId="7B111870" w14:textId="77777777" w:rsidTr="007D2DA3">
        <w:trPr>
          <w:trHeight w:val="300"/>
        </w:trPr>
        <w:tc>
          <w:tcPr>
            <w:tcW w:w="2263" w:type="dxa"/>
          </w:tcPr>
          <w:p w14:paraId="5A1E1CEA" w14:textId="19236235" w:rsidR="00C35DC6" w:rsidRDefault="00C35DC6" w:rsidP="007D2DA3">
            <w:pPr>
              <w:pStyle w:val="OICTable"/>
            </w:pPr>
            <w:r>
              <w:t>Eligibility Confirmed By</w:t>
            </w:r>
          </w:p>
        </w:tc>
        <w:tc>
          <w:tcPr>
            <w:tcW w:w="6752" w:type="dxa"/>
          </w:tcPr>
          <w:p w14:paraId="5048271B" w14:textId="77777777" w:rsidR="00C35DC6" w:rsidRDefault="00C35DC6" w:rsidP="007D2DA3">
            <w:pPr>
              <w:pStyle w:val="OICTable"/>
            </w:pPr>
          </w:p>
        </w:tc>
      </w:tr>
      <w:tr w:rsidR="00C35DC6" w14:paraId="1CD9CBF9" w14:textId="77777777" w:rsidTr="007D2DA3">
        <w:trPr>
          <w:trHeight w:val="300"/>
        </w:trPr>
        <w:tc>
          <w:tcPr>
            <w:tcW w:w="2263" w:type="dxa"/>
          </w:tcPr>
          <w:p w14:paraId="6694A711" w14:textId="2B9C254F" w:rsidR="00C35DC6" w:rsidRDefault="00C35DC6" w:rsidP="007D2DA3">
            <w:pPr>
              <w:pStyle w:val="OICTable"/>
            </w:pPr>
            <w:r>
              <w:t>Amount Requested</w:t>
            </w:r>
          </w:p>
        </w:tc>
        <w:tc>
          <w:tcPr>
            <w:tcW w:w="6752" w:type="dxa"/>
          </w:tcPr>
          <w:p w14:paraId="6FDA180E" w14:textId="77777777" w:rsidR="00C35DC6" w:rsidRDefault="00C35DC6" w:rsidP="007D2DA3">
            <w:pPr>
              <w:pStyle w:val="OICTable"/>
            </w:pPr>
          </w:p>
        </w:tc>
      </w:tr>
      <w:tr w:rsidR="00C35DC6" w14:paraId="7B0BE833" w14:textId="77777777" w:rsidTr="007D2DA3">
        <w:trPr>
          <w:trHeight w:val="300"/>
        </w:trPr>
        <w:tc>
          <w:tcPr>
            <w:tcW w:w="2263" w:type="dxa"/>
          </w:tcPr>
          <w:p w14:paraId="63D4F085" w14:textId="6960B929" w:rsidR="00C35DC6" w:rsidRDefault="00EF0489" w:rsidP="007D2DA3">
            <w:pPr>
              <w:pStyle w:val="OICTable"/>
            </w:pPr>
            <w:r>
              <w:t>Date of Request</w:t>
            </w:r>
          </w:p>
        </w:tc>
        <w:tc>
          <w:tcPr>
            <w:tcW w:w="6752" w:type="dxa"/>
          </w:tcPr>
          <w:p w14:paraId="7B1BF827" w14:textId="77777777" w:rsidR="00C35DC6" w:rsidRDefault="00C35DC6" w:rsidP="007D2DA3">
            <w:pPr>
              <w:pStyle w:val="OICTable"/>
            </w:pPr>
          </w:p>
        </w:tc>
      </w:tr>
      <w:tr w:rsidR="00EF0489" w14:paraId="5F44445E" w14:textId="77777777" w:rsidTr="007D2DA3">
        <w:trPr>
          <w:trHeight w:val="300"/>
        </w:trPr>
        <w:tc>
          <w:tcPr>
            <w:tcW w:w="2263" w:type="dxa"/>
          </w:tcPr>
          <w:p w14:paraId="35CED6C5" w14:textId="20D4865A" w:rsidR="00EF0489" w:rsidRDefault="00EF0489" w:rsidP="007D2DA3">
            <w:pPr>
              <w:pStyle w:val="OICTable"/>
            </w:pPr>
            <w:r>
              <w:t>Grant or Allowance (If an allowance is requested, state duration)</w:t>
            </w:r>
          </w:p>
        </w:tc>
        <w:tc>
          <w:tcPr>
            <w:tcW w:w="6752" w:type="dxa"/>
          </w:tcPr>
          <w:p w14:paraId="5B1211DD" w14:textId="77777777" w:rsidR="00EF0489" w:rsidRDefault="00EF0489" w:rsidP="007D2DA3">
            <w:pPr>
              <w:pStyle w:val="OICTable"/>
            </w:pPr>
          </w:p>
        </w:tc>
      </w:tr>
      <w:tr w:rsidR="00EF0489" w14:paraId="27238380" w14:textId="77777777" w:rsidTr="007D2DA3">
        <w:trPr>
          <w:trHeight w:val="300"/>
        </w:trPr>
        <w:tc>
          <w:tcPr>
            <w:tcW w:w="2263" w:type="dxa"/>
          </w:tcPr>
          <w:p w14:paraId="067CA748" w14:textId="4725BA70" w:rsidR="00EF0489" w:rsidRDefault="00EF0489" w:rsidP="007D2DA3">
            <w:pPr>
              <w:pStyle w:val="OICTable"/>
            </w:pPr>
            <w:r>
              <w:t>Reason for Request</w:t>
            </w:r>
          </w:p>
        </w:tc>
        <w:tc>
          <w:tcPr>
            <w:tcW w:w="6752" w:type="dxa"/>
          </w:tcPr>
          <w:p w14:paraId="772A26E8" w14:textId="77777777" w:rsidR="00EF0489" w:rsidRDefault="00EF0489" w:rsidP="007D2DA3">
            <w:pPr>
              <w:pStyle w:val="OICTable"/>
              <w:spacing w:after="1800"/>
            </w:pPr>
          </w:p>
        </w:tc>
      </w:tr>
      <w:tr w:rsidR="00EF0489" w14:paraId="6042C8EB" w14:textId="77777777" w:rsidTr="00EF0489">
        <w:trPr>
          <w:trHeight w:val="300"/>
        </w:trPr>
        <w:tc>
          <w:tcPr>
            <w:tcW w:w="2263" w:type="dxa"/>
          </w:tcPr>
          <w:p w14:paraId="383B70C6" w14:textId="43043186" w:rsidR="00EF0489" w:rsidRDefault="00EF0489" w:rsidP="007D2DA3">
            <w:pPr>
              <w:pStyle w:val="OICTable"/>
            </w:pPr>
            <w:r>
              <w:t>Any Relevant Timescales</w:t>
            </w:r>
          </w:p>
        </w:tc>
        <w:tc>
          <w:tcPr>
            <w:tcW w:w="6752" w:type="dxa"/>
          </w:tcPr>
          <w:p w14:paraId="5B622C1A" w14:textId="77777777" w:rsidR="00EF0489" w:rsidRDefault="00EF0489" w:rsidP="007D2DA3">
            <w:pPr>
              <w:pStyle w:val="OICTable"/>
            </w:pPr>
          </w:p>
        </w:tc>
      </w:tr>
      <w:tr w:rsidR="00EF0489" w14:paraId="71E06E73" w14:textId="77777777" w:rsidTr="00EF0489">
        <w:trPr>
          <w:trHeight w:val="300"/>
        </w:trPr>
        <w:tc>
          <w:tcPr>
            <w:tcW w:w="2263" w:type="dxa"/>
          </w:tcPr>
          <w:p w14:paraId="68280E0D" w14:textId="0873C22D" w:rsidR="00EF0489" w:rsidRDefault="00EF0489" w:rsidP="007D2DA3">
            <w:pPr>
              <w:pStyle w:val="OICTable"/>
            </w:pPr>
            <w:r>
              <w:t>Breakdown of Costs (if required)</w:t>
            </w:r>
          </w:p>
        </w:tc>
        <w:tc>
          <w:tcPr>
            <w:tcW w:w="6752" w:type="dxa"/>
          </w:tcPr>
          <w:p w14:paraId="63AFFF42" w14:textId="77777777" w:rsidR="00EF0489" w:rsidRDefault="00EF0489" w:rsidP="007D2DA3">
            <w:pPr>
              <w:pStyle w:val="OICTable"/>
              <w:spacing w:after="1800"/>
            </w:pPr>
          </w:p>
        </w:tc>
      </w:tr>
      <w:tr w:rsidR="00EF0489" w14:paraId="3087C171" w14:textId="77777777" w:rsidTr="00EF0489">
        <w:trPr>
          <w:trHeight w:val="300"/>
        </w:trPr>
        <w:tc>
          <w:tcPr>
            <w:tcW w:w="2263" w:type="dxa"/>
          </w:tcPr>
          <w:p w14:paraId="61D61524" w14:textId="626B71BF" w:rsidR="00EF0489" w:rsidRDefault="00EF0489" w:rsidP="007D2DA3">
            <w:pPr>
              <w:pStyle w:val="OICTable"/>
            </w:pPr>
            <w:r>
              <w:t>Authorised By</w:t>
            </w:r>
          </w:p>
        </w:tc>
        <w:tc>
          <w:tcPr>
            <w:tcW w:w="6752" w:type="dxa"/>
          </w:tcPr>
          <w:p w14:paraId="6CF5E60F" w14:textId="77777777" w:rsidR="00EF0489" w:rsidRDefault="00EF0489" w:rsidP="007D2DA3">
            <w:pPr>
              <w:pStyle w:val="OICTable"/>
            </w:pPr>
          </w:p>
        </w:tc>
      </w:tr>
      <w:tr w:rsidR="00EF0489" w14:paraId="5E30FE5B" w14:textId="77777777" w:rsidTr="00EF0489">
        <w:trPr>
          <w:trHeight w:val="300"/>
        </w:trPr>
        <w:tc>
          <w:tcPr>
            <w:tcW w:w="2263" w:type="dxa"/>
          </w:tcPr>
          <w:p w14:paraId="3A1324DC" w14:textId="2A103BF9" w:rsidR="00EF0489" w:rsidRDefault="00EF0489" w:rsidP="007D2DA3">
            <w:pPr>
              <w:pStyle w:val="OICTable"/>
            </w:pPr>
            <w:r>
              <w:t>Date</w:t>
            </w:r>
          </w:p>
        </w:tc>
        <w:tc>
          <w:tcPr>
            <w:tcW w:w="6752" w:type="dxa"/>
          </w:tcPr>
          <w:p w14:paraId="0B79E41E" w14:textId="77777777" w:rsidR="00EF0489" w:rsidRDefault="00EF0489" w:rsidP="007D2DA3">
            <w:pPr>
              <w:pStyle w:val="OICTable"/>
            </w:pPr>
          </w:p>
        </w:tc>
      </w:tr>
    </w:tbl>
    <w:p w14:paraId="5812F0C2" w14:textId="77777777" w:rsidR="00C35DC6" w:rsidRDefault="00C35DC6" w:rsidP="2B472196">
      <w:pPr>
        <w:pStyle w:val="ListBullet"/>
        <w:numPr>
          <w:ilvl w:val="0"/>
          <w:numId w:val="0"/>
        </w:numPr>
      </w:pPr>
    </w:p>
    <w:p w14:paraId="765D683E" w14:textId="6B31EC99" w:rsidR="00EF0489" w:rsidRDefault="00EF0489" w:rsidP="007D2DA3">
      <w:pPr>
        <w:pStyle w:val="Heading3"/>
      </w:pPr>
      <w:bookmarkStart w:id="26" w:name="_Toc208838847"/>
      <w:r>
        <w:lastRenderedPageBreak/>
        <w:t>Orkney Health and Care</w:t>
      </w:r>
      <w:bookmarkEnd w:id="26"/>
    </w:p>
    <w:p w14:paraId="4E4CF7FB" w14:textId="72018A7A" w:rsidR="00EF0489" w:rsidRDefault="00EF0489" w:rsidP="007D2DA3">
      <w:pPr>
        <w:pStyle w:val="Heading4"/>
      </w:pPr>
      <w:r>
        <w:t xml:space="preserve">Bank Details for </w:t>
      </w:r>
      <w:r w:rsidR="00574DBD">
        <w:t>payments</w:t>
      </w:r>
    </w:p>
    <w:p w14:paraId="5E2375C8" w14:textId="3E880057" w:rsidR="00EF0489" w:rsidRDefault="00EF0489" w:rsidP="007D2DA3">
      <w:proofErr w:type="gramStart"/>
      <w:r>
        <w:t>For the purpose of</w:t>
      </w:r>
      <w:proofErr w:type="gramEnd"/>
      <w:r>
        <w:t xml:space="preserve"> making agreed payments to you, please provide your details as follows.</w:t>
      </w:r>
    </w:p>
    <w:tbl>
      <w:tblPr>
        <w:tblStyle w:val="TableGrid"/>
        <w:tblW w:w="0" w:type="auto"/>
        <w:tblLook w:val="04A0" w:firstRow="1" w:lastRow="0" w:firstColumn="1" w:lastColumn="0" w:noHBand="0" w:noVBand="1"/>
      </w:tblPr>
      <w:tblGrid>
        <w:gridCol w:w="2972"/>
        <w:gridCol w:w="6044"/>
      </w:tblGrid>
      <w:tr w:rsidR="00574DBD" w14:paraId="15337D8A" w14:textId="77777777" w:rsidTr="007D2DA3">
        <w:tc>
          <w:tcPr>
            <w:tcW w:w="2972" w:type="dxa"/>
          </w:tcPr>
          <w:p w14:paraId="4DE40CA8" w14:textId="4ECC47FE" w:rsidR="00574DBD" w:rsidRDefault="00574DBD" w:rsidP="007D2DA3">
            <w:pPr>
              <w:pStyle w:val="OICTable"/>
            </w:pPr>
            <w:r>
              <w:t>Your Name</w:t>
            </w:r>
          </w:p>
        </w:tc>
        <w:tc>
          <w:tcPr>
            <w:tcW w:w="6044" w:type="dxa"/>
          </w:tcPr>
          <w:p w14:paraId="40C65EE6" w14:textId="77777777" w:rsidR="00574DBD" w:rsidRDefault="00574DBD" w:rsidP="007D2DA3">
            <w:pPr>
              <w:pStyle w:val="OICTable"/>
            </w:pPr>
          </w:p>
        </w:tc>
      </w:tr>
      <w:tr w:rsidR="00574DBD" w14:paraId="28262947" w14:textId="77777777" w:rsidTr="007D2DA3">
        <w:tc>
          <w:tcPr>
            <w:tcW w:w="2972" w:type="dxa"/>
          </w:tcPr>
          <w:p w14:paraId="7363E4C1" w14:textId="6A87A91D" w:rsidR="00574DBD" w:rsidRDefault="00574DBD" w:rsidP="007D2DA3">
            <w:pPr>
              <w:pStyle w:val="OICTable"/>
            </w:pPr>
            <w:r>
              <w:t>Address</w:t>
            </w:r>
          </w:p>
        </w:tc>
        <w:tc>
          <w:tcPr>
            <w:tcW w:w="6044" w:type="dxa"/>
          </w:tcPr>
          <w:p w14:paraId="5A4BC735" w14:textId="77777777" w:rsidR="00574DBD" w:rsidRDefault="00574DBD" w:rsidP="007D2DA3">
            <w:pPr>
              <w:pStyle w:val="OICTable"/>
              <w:spacing w:after="2040"/>
            </w:pPr>
          </w:p>
        </w:tc>
      </w:tr>
      <w:tr w:rsidR="00574DBD" w14:paraId="02469DFB" w14:textId="77777777" w:rsidTr="007D2DA3">
        <w:tc>
          <w:tcPr>
            <w:tcW w:w="2972" w:type="dxa"/>
          </w:tcPr>
          <w:p w14:paraId="5B0A4748" w14:textId="6E963690" w:rsidR="00574DBD" w:rsidRDefault="00574DBD" w:rsidP="007D2DA3">
            <w:pPr>
              <w:pStyle w:val="OICTable"/>
            </w:pPr>
            <w:r>
              <w:t>Postcode</w:t>
            </w:r>
          </w:p>
        </w:tc>
        <w:tc>
          <w:tcPr>
            <w:tcW w:w="6044" w:type="dxa"/>
          </w:tcPr>
          <w:p w14:paraId="345D81BA" w14:textId="77777777" w:rsidR="00574DBD" w:rsidRDefault="00574DBD" w:rsidP="007D2DA3">
            <w:pPr>
              <w:pStyle w:val="OICTable"/>
            </w:pPr>
          </w:p>
        </w:tc>
      </w:tr>
      <w:tr w:rsidR="00574DBD" w14:paraId="38B6EF22" w14:textId="77777777" w:rsidTr="007D2DA3">
        <w:tc>
          <w:tcPr>
            <w:tcW w:w="2972" w:type="dxa"/>
          </w:tcPr>
          <w:p w14:paraId="6A275EC1" w14:textId="57A94D5B" w:rsidR="00574DBD" w:rsidRDefault="00574DBD" w:rsidP="007D2DA3">
            <w:pPr>
              <w:pStyle w:val="OICTable"/>
            </w:pPr>
            <w:r>
              <w:t>Your Telephone Number</w:t>
            </w:r>
          </w:p>
        </w:tc>
        <w:tc>
          <w:tcPr>
            <w:tcW w:w="6044" w:type="dxa"/>
          </w:tcPr>
          <w:p w14:paraId="036AF147" w14:textId="77777777" w:rsidR="00574DBD" w:rsidRDefault="00574DBD" w:rsidP="007D2DA3">
            <w:pPr>
              <w:pStyle w:val="OICTable"/>
            </w:pPr>
          </w:p>
        </w:tc>
      </w:tr>
      <w:tr w:rsidR="00574DBD" w14:paraId="132E065A" w14:textId="77777777" w:rsidTr="007D2DA3">
        <w:tc>
          <w:tcPr>
            <w:tcW w:w="2972" w:type="dxa"/>
          </w:tcPr>
          <w:p w14:paraId="5D00C9FC" w14:textId="62580499" w:rsidR="00574DBD" w:rsidRDefault="00574DBD" w:rsidP="007D2DA3">
            <w:pPr>
              <w:pStyle w:val="OICTable"/>
            </w:pPr>
            <w:r>
              <w:t>Your Email Address</w:t>
            </w:r>
          </w:p>
        </w:tc>
        <w:tc>
          <w:tcPr>
            <w:tcW w:w="6044" w:type="dxa"/>
          </w:tcPr>
          <w:p w14:paraId="0251B233" w14:textId="77777777" w:rsidR="00574DBD" w:rsidRDefault="00574DBD" w:rsidP="007D2DA3">
            <w:pPr>
              <w:pStyle w:val="OICTable"/>
            </w:pPr>
          </w:p>
        </w:tc>
      </w:tr>
      <w:tr w:rsidR="00574DBD" w14:paraId="1D33B1AE" w14:textId="77777777" w:rsidTr="007D2DA3">
        <w:tc>
          <w:tcPr>
            <w:tcW w:w="2972" w:type="dxa"/>
          </w:tcPr>
          <w:p w14:paraId="67B66A89" w14:textId="6B8DD0AE" w:rsidR="00574DBD" w:rsidRDefault="008E0F29" w:rsidP="007D2DA3">
            <w:pPr>
              <w:pStyle w:val="OICTable"/>
            </w:pPr>
            <w:r>
              <w:t>Your Bank</w:t>
            </w:r>
          </w:p>
        </w:tc>
        <w:tc>
          <w:tcPr>
            <w:tcW w:w="6044" w:type="dxa"/>
          </w:tcPr>
          <w:p w14:paraId="5C21F152" w14:textId="77777777" w:rsidR="00574DBD" w:rsidRDefault="00574DBD" w:rsidP="007D2DA3">
            <w:pPr>
              <w:pStyle w:val="OICTable"/>
            </w:pPr>
          </w:p>
        </w:tc>
      </w:tr>
      <w:tr w:rsidR="008E0F29" w14:paraId="6F156B48" w14:textId="77777777" w:rsidTr="007D2DA3">
        <w:tc>
          <w:tcPr>
            <w:tcW w:w="2972" w:type="dxa"/>
          </w:tcPr>
          <w:p w14:paraId="4EB0EA48" w14:textId="59085D0B" w:rsidR="008E0F29" w:rsidRDefault="008E0F29" w:rsidP="007D2DA3">
            <w:pPr>
              <w:pStyle w:val="OICTable"/>
            </w:pPr>
            <w:r>
              <w:t>Account Name</w:t>
            </w:r>
          </w:p>
        </w:tc>
        <w:tc>
          <w:tcPr>
            <w:tcW w:w="6044" w:type="dxa"/>
          </w:tcPr>
          <w:p w14:paraId="74189B94" w14:textId="77777777" w:rsidR="008E0F29" w:rsidRDefault="008E0F29" w:rsidP="007D2DA3">
            <w:pPr>
              <w:pStyle w:val="OICTable"/>
            </w:pPr>
          </w:p>
        </w:tc>
      </w:tr>
      <w:tr w:rsidR="008E0F29" w14:paraId="375C6731" w14:textId="77777777" w:rsidTr="007D2DA3">
        <w:tc>
          <w:tcPr>
            <w:tcW w:w="2972" w:type="dxa"/>
          </w:tcPr>
          <w:p w14:paraId="42087F2D" w14:textId="2489CE57" w:rsidR="008E0F29" w:rsidRDefault="008E0F29" w:rsidP="007D2DA3">
            <w:pPr>
              <w:pStyle w:val="OICTable"/>
            </w:pPr>
            <w:r>
              <w:t>Account Number</w:t>
            </w:r>
          </w:p>
        </w:tc>
        <w:tc>
          <w:tcPr>
            <w:tcW w:w="6044" w:type="dxa"/>
          </w:tcPr>
          <w:p w14:paraId="5B03AEF9" w14:textId="77777777" w:rsidR="008E0F29" w:rsidRDefault="008E0F29" w:rsidP="007D2DA3">
            <w:pPr>
              <w:pStyle w:val="OICTable"/>
            </w:pPr>
          </w:p>
        </w:tc>
      </w:tr>
      <w:tr w:rsidR="008E0F29" w14:paraId="0620C8EE" w14:textId="77777777" w:rsidTr="007D2DA3">
        <w:tc>
          <w:tcPr>
            <w:tcW w:w="2972" w:type="dxa"/>
          </w:tcPr>
          <w:p w14:paraId="2BB62766" w14:textId="18159B92" w:rsidR="008E0F29" w:rsidRDefault="008E0F29" w:rsidP="007D2DA3">
            <w:pPr>
              <w:pStyle w:val="OICTable"/>
            </w:pPr>
            <w:r>
              <w:t>Sort Code</w:t>
            </w:r>
          </w:p>
        </w:tc>
        <w:tc>
          <w:tcPr>
            <w:tcW w:w="6044" w:type="dxa"/>
          </w:tcPr>
          <w:p w14:paraId="06124654" w14:textId="77777777" w:rsidR="008E0F29" w:rsidRDefault="008E0F29" w:rsidP="007D2DA3">
            <w:pPr>
              <w:pStyle w:val="OICTable"/>
            </w:pPr>
          </w:p>
        </w:tc>
      </w:tr>
      <w:tr w:rsidR="008E0F29" w14:paraId="1570305F" w14:textId="77777777" w:rsidTr="00E07F5B">
        <w:tc>
          <w:tcPr>
            <w:tcW w:w="9016" w:type="dxa"/>
            <w:gridSpan w:val="2"/>
          </w:tcPr>
          <w:p w14:paraId="453B77D0" w14:textId="156358D3" w:rsidR="008E0F29" w:rsidRDefault="008E0F29" w:rsidP="007D2DA3">
            <w:pPr>
              <w:pStyle w:val="OICTable"/>
            </w:pPr>
            <w:r>
              <w:t>I can confirm that these details are correct</w:t>
            </w:r>
          </w:p>
        </w:tc>
      </w:tr>
      <w:tr w:rsidR="008E0F29" w14:paraId="0350D771" w14:textId="77777777" w:rsidTr="007D2DA3">
        <w:tc>
          <w:tcPr>
            <w:tcW w:w="2972" w:type="dxa"/>
          </w:tcPr>
          <w:p w14:paraId="4329B1E3" w14:textId="3F8604B0" w:rsidR="008E0F29" w:rsidRDefault="008E0F29" w:rsidP="007D2DA3">
            <w:pPr>
              <w:pStyle w:val="OICTable"/>
            </w:pPr>
            <w:r>
              <w:t>Signed</w:t>
            </w:r>
          </w:p>
        </w:tc>
        <w:tc>
          <w:tcPr>
            <w:tcW w:w="6044" w:type="dxa"/>
          </w:tcPr>
          <w:p w14:paraId="319A30DA" w14:textId="77777777" w:rsidR="008E0F29" w:rsidRDefault="008E0F29" w:rsidP="007D2DA3">
            <w:pPr>
              <w:pStyle w:val="OICTable"/>
            </w:pPr>
          </w:p>
        </w:tc>
      </w:tr>
      <w:tr w:rsidR="008E0F29" w14:paraId="75DEDEDE" w14:textId="77777777" w:rsidTr="007D2DA3">
        <w:tc>
          <w:tcPr>
            <w:tcW w:w="2972" w:type="dxa"/>
          </w:tcPr>
          <w:p w14:paraId="176BDB79" w14:textId="391F10FD" w:rsidR="008E0F29" w:rsidRDefault="008E0F29" w:rsidP="007D2DA3">
            <w:pPr>
              <w:pStyle w:val="OICTable"/>
            </w:pPr>
            <w:r>
              <w:t>Date</w:t>
            </w:r>
          </w:p>
        </w:tc>
        <w:tc>
          <w:tcPr>
            <w:tcW w:w="6044" w:type="dxa"/>
          </w:tcPr>
          <w:p w14:paraId="1FCF7C43" w14:textId="77777777" w:rsidR="008E0F29" w:rsidRDefault="008E0F29" w:rsidP="007D2DA3">
            <w:pPr>
              <w:pStyle w:val="OICTable"/>
            </w:pPr>
          </w:p>
        </w:tc>
      </w:tr>
    </w:tbl>
    <w:p w14:paraId="095632DC" w14:textId="77777777" w:rsidR="00574DBD" w:rsidRDefault="00574DBD" w:rsidP="2B472196">
      <w:pPr>
        <w:pStyle w:val="ListBullet"/>
        <w:numPr>
          <w:ilvl w:val="0"/>
          <w:numId w:val="0"/>
        </w:numPr>
      </w:pPr>
    </w:p>
    <w:p w14:paraId="4CA5A00B" w14:textId="46E0B59C" w:rsidR="00C66E5A" w:rsidRPr="00301CE3" w:rsidRDefault="00C66E5A" w:rsidP="2B472196">
      <w:pPr>
        <w:pStyle w:val="ListBullet"/>
        <w:numPr>
          <w:ilvl w:val="0"/>
          <w:numId w:val="0"/>
        </w:numPr>
      </w:pPr>
      <w:r w:rsidRPr="00C66E5A">
        <w:t>Please remember to check your bank records regularly to ensure that any payments due are paid into your account. You must let us know as soon as possible if you do not receive payments due to you so we can rectify this. You must also let us know if we pay you more than you expect. In most cases we will be able to explain the purpose of the payment. However</w:t>
      </w:r>
      <w:r>
        <w:t>,</w:t>
      </w:r>
      <w:r w:rsidRPr="00C66E5A">
        <w:t xml:space="preserve"> if there has been an administrative error the Council is entitled to ask you to return the overpayment.</w:t>
      </w:r>
    </w:p>
    <w:sectPr w:rsidR="00C66E5A" w:rsidRPr="00301CE3" w:rsidSect="00301CE3">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DFB4" w14:textId="77777777" w:rsidR="00417B77" w:rsidRDefault="00417B77" w:rsidP="003E269E">
      <w:pPr>
        <w:spacing w:after="0"/>
      </w:pPr>
      <w:r>
        <w:separator/>
      </w:r>
    </w:p>
  </w:endnote>
  <w:endnote w:type="continuationSeparator" w:id="0">
    <w:p w14:paraId="28A1589F" w14:textId="77777777" w:rsidR="00417B77" w:rsidRDefault="00417B77" w:rsidP="003E2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33108"/>
      <w:docPartObj>
        <w:docPartGallery w:val="Page Numbers (Bottom of Page)"/>
        <w:docPartUnique/>
      </w:docPartObj>
    </w:sdtPr>
    <w:sdtEndPr>
      <w:rPr>
        <w:noProof/>
      </w:rPr>
    </w:sdtEndPr>
    <w:sdtContent>
      <w:p w14:paraId="6EAA1839" w14:textId="3EF69D28" w:rsidR="003C0CC4" w:rsidRDefault="003C0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07673" w14:textId="77777777" w:rsidR="003C0CC4" w:rsidRDefault="003C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7ECA" w14:textId="77777777" w:rsidR="00417B77" w:rsidRDefault="00417B77" w:rsidP="003E269E">
      <w:pPr>
        <w:spacing w:after="0"/>
      </w:pPr>
      <w:r>
        <w:separator/>
      </w:r>
    </w:p>
  </w:footnote>
  <w:footnote w:type="continuationSeparator" w:id="0">
    <w:p w14:paraId="16792086" w14:textId="77777777" w:rsidR="00417B77" w:rsidRDefault="00417B77" w:rsidP="003E2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9E8D" w14:textId="195F8A2D" w:rsidR="00593095" w:rsidRDefault="003C0CC4">
    <w:pPr>
      <w:pStyle w:val="Header"/>
    </w:pPr>
    <w:r>
      <w:rPr>
        <w:noProof/>
      </w:rPr>
      <w:t xml:space="preserve"> </w:t>
    </w:r>
    <w:r w:rsidR="00D42AB0">
      <w:rPr>
        <w:noProof/>
      </w:rPr>
      <mc:AlternateContent>
        <mc:Choice Requires="wps">
          <w:drawing>
            <wp:anchor distT="0" distB="0" distL="114300" distR="114300" simplePos="0" relativeHeight="251658240" behindDoc="0" locked="0" layoutInCell="0" allowOverlap="1" wp14:anchorId="5667CDB4" wp14:editId="167851E9">
              <wp:simplePos x="0" y="0"/>
              <wp:positionH relativeFrom="page">
                <wp:posOffset>0</wp:posOffset>
              </wp:positionH>
              <wp:positionV relativeFrom="page">
                <wp:posOffset>190500</wp:posOffset>
              </wp:positionV>
              <wp:extent cx="7560310" cy="266700"/>
              <wp:effectExtent l="0" t="0" r="0" b="0"/>
              <wp:wrapNone/>
              <wp:docPr id="1" name="MSIPCMae3a4794bcf7077e78b89974"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7CDB4" id="_x0000_t202" coordsize="21600,21600" o:spt="202" path="m,l,21600r21600,l21600,xe">
              <v:stroke joinstyle="miter"/>
              <v:path gradientshapeok="t" o:connecttype="rect"/>
            </v:shapetype>
            <v:shape id="MSIPCMae3a4794bcf7077e78b89974" o:spid="_x0000_s1026" type="#_x0000_t202" alt="{&quot;HashCode&quot;:101923574,&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D240B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F86B52"/>
    <w:multiLevelType w:val="hybridMultilevel"/>
    <w:tmpl w:val="46941330"/>
    <w:lvl w:ilvl="0" w:tplc="902E9806">
      <w:start w:val="1"/>
      <w:numFmt w:val="decimal"/>
      <w:lvlText w:val="%1."/>
      <w:lvlJc w:val="left"/>
      <w:pPr>
        <w:ind w:left="720" w:hanging="360"/>
      </w:pPr>
    </w:lvl>
    <w:lvl w:ilvl="1" w:tplc="99F258B8">
      <w:start w:val="1"/>
      <w:numFmt w:val="lowerLetter"/>
      <w:lvlText w:val="%2."/>
      <w:lvlJc w:val="left"/>
      <w:pPr>
        <w:ind w:left="1440" w:hanging="360"/>
      </w:pPr>
    </w:lvl>
    <w:lvl w:ilvl="2" w:tplc="179AD4E2">
      <w:start w:val="1"/>
      <w:numFmt w:val="lowerRoman"/>
      <w:lvlText w:val="%3."/>
      <w:lvlJc w:val="right"/>
      <w:pPr>
        <w:ind w:left="2160" w:hanging="180"/>
      </w:pPr>
    </w:lvl>
    <w:lvl w:ilvl="3" w:tplc="8544E8E8">
      <w:start w:val="1"/>
      <w:numFmt w:val="decimal"/>
      <w:lvlText w:val="%4."/>
      <w:lvlJc w:val="left"/>
      <w:pPr>
        <w:ind w:left="2880" w:hanging="360"/>
      </w:pPr>
    </w:lvl>
    <w:lvl w:ilvl="4" w:tplc="8E38A588">
      <w:start w:val="1"/>
      <w:numFmt w:val="lowerLetter"/>
      <w:lvlText w:val="%5."/>
      <w:lvlJc w:val="left"/>
      <w:pPr>
        <w:ind w:left="3600" w:hanging="360"/>
      </w:pPr>
    </w:lvl>
    <w:lvl w:ilvl="5" w:tplc="CB16BD9E">
      <w:start w:val="1"/>
      <w:numFmt w:val="lowerRoman"/>
      <w:lvlText w:val="%6."/>
      <w:lvlJc w:val="right"/>
      <w:pPr>
        <w:ind w:left="4320" w:hanging="180"/>
      </w:pPr>
    </w:lvl>
    <w:lvl w:ilvl="6" w:tplc="FFEA4094">
      <w:start w:val="1"/>
      <w:numFmt w:val="decimal"/>
      <w:lvlText w:val="%7."/>
      <w:lvlJc w:val="left"/>
      <w:pPr>
        <w:ind w:left="5040" w:hanging="360"/>
      </w:pPr>
    </w:lvl>
    <w:lvl w:ilvl="7" w:tplc="E9F862C8">
      <w:start w:val="1"/>
      <w:numFmt w:val="lowerLetter"/>
      <w:lvlText w:val="%8."/>
      <w:lvlJc w:val="left"/>
      <w:pPr>
        <w:ind w:left="5760" w:hanging="360"/>
      </w:pPr>
    </w:lvl>
    <w:lvl w:ilvl="8" w:tplc="211A42FC">
      <w:start w:val="1"/>
      <w:numFmt w:val="lowerRoman"/>
      <w:lvlText w:val="%9."/>
      <w:lvlJc w:val="right"/>
      <w:pPr>
        <w:ind w:left="6480" w:hanging="180"/>
      </w:pPr>
    </w:lvl>
  </w:abstractNum>
  <w:abstractNum w:abstractNumId="3"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474A6"/>
    <w:multiLevelType w:val="hybridMultilevel"/>
    <w:tmpl w:val="8A2E705A"/>
    <w:lvl w:ilvl="0" w:tplc="C5C256B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C42337"/>
    <w:multiLevelType w:val="hybridMultilevel"/>
    <w:tmpl w:val="613C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C1A5D"/>
    <w:multiLevelType w:val="hybridMultilevel"/>
    <w:tmpl w:val="0F6856EC"/>
    <w:lvl w:ilvl="0" w:tplc="C5C256B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A306D"/>
    <w:multiLevelType w:val="hybridMultilevel"/>
    <w:tmpl w:val="60E6F3D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599781">
    <w:abstractNumId w:val="0"/>
  </w:num>
  <w:num w:numId="2" w16cid:durableId="485170515">
    <w:abstractNumId w:val="6"/>
  </w:num>
  <w:num w:numId="3" w16cid:durableId="800731768">
    <w:abstractNumId w:val="6"/>
  </w:num>
  <w:num w:numId="4" w16cid:durableId="2112047834">
    <w:abstractNumId w:val="6"/>
  </w:num>
  <w:num w:numId="5" w16cid:durableId="122622193">
    <w:abstractNumId w:val="6"/>
  </w:num>
  <w:num w:numId="6" w16cid:durableId="1761751527">
    <w:abstractNumId w:val="6"/>
  </w:num>
  <w:num w:numId="7" w16cid:durableId="2125343675">
    <w:abstractNumId w:val="1"/>
  </w:num>
  <w:num w:numId="8" w16cid:durableId="1488281641">
    <w:abstractNumId w:val="6"/>
  </w:num>
  <w:num w:numId="9" w16cid:durableId="1743066776">
    <w:abstractNumId w:val="7"/>
  </w:num>
  <w:num w:numId="10" w16cid:durableId="1143234352">
    <w:abstractNumId w:val="7"/>
  </w:num>
  <w:num w:numId="11" w16cid:durableId="304438281">
    <w:abstractNumId w:val="7"/>
  </w:num>
  <w:num w:numId="12" w16cid:durableId="1430272312">
    <w:abstractNumId w:val="9"/>
  </w:num>
  <w:num w:numId="13" w16cid:durableId="654995028">
    <w:abstractNumId w:val="3"/>
  </w:num>
  <w:num w:numId="14" w16cid:durableId="1492208653">
    <w:abstractNumId w:val="5"/>
  </w:num>
  <w:num w:numId="15" w16cid:durableId="261424028">
    <w:abstractNumId w:val="10"/>
  </w:num>
  <w:num w:numId="16" w16cid:durableId="76054505">
    <w:abstractNumId w:val="9"/>
  </w:num>
  <w:num w:numId="17" w16cid:durableId="182594032">
    <w:abstractNumId w:val="9"/>
  </w:num>
  <w:num w:numId="18" w16cid:durableId="1320770113">
    <w:abstractNumId w:val="9"/>
  </w:num>
  <w:num w:numId="19" w16cid:durableId="1031607371">
    <w:abstractNumId w:val="9"/>
  </w:num>
  <w:num w:numId="20" w16cid:durableId="581378731">
    <w:abstractNumId w:val="9"/>
  </w:num>
  <w:num w:numId="21" w16cid:durableId="2114862014">
    <w:abstractNumId w:val="9"/>
  </w:num>
  <w:num w:numId="22" w16cid:durableId="1443571029">
    <w:abstractNumId w:val="9"/>
  </w:num>
  <w:num w:numId="23" w16cid:durableId="1940334446">
    <w:abstractNumId w:val="8"/>
  </w:num>
  <w:num w:numId="24" w16cid:durableId="1741829383">
    <w:abstractNumId w:val="4"/>
  </w:num>
  <w:num w:numId="25" w16cid:durableId="499003309">
    <w:abstractNumId w:val="9"/>
  </w:num>
  <w:num w:numId="26" w16cid:durableId="32122079">
    <w:abstractNumId w:val="9"/>
  </w:num>
  <w:num w:numId="27" w16cid:durableId="1891762460">
    <w:abstractNumId w:val="9"/>
  </w:num>
  <w:num w:numId="28" w16cid:durableId="42295557">
    <w:abstractNumId w:val="9"/>
  </w:num>
  <w:num w:numId="29" w16cid:durableId="79155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56D2"/>
    <w:rsid w:val="00006555"/>
    <w:rsid w:val="000168AD"/>
    <w:rsid w:val="00022A8D"/>
    <w:rsid w:val="00025218"/>
    <w:rsid w:val="00026273"/>
    <w:rsid w:val="00026946"/>
    <w:rsid w:val="00030E1A"/>
    <w:rsid w:val="00046561"/>
    <w:rsid w:val="00051214"/>
    <w:rsid w:val="0005513D"/>
    <w:rsid w:val="00056D73"/>
    <w:rsid w:val="0006603D"/>
    <w:rsid w:val="000667C6"/>
    <w:rsid w:val="00072881"/>
    <w:rsid w:val="00074BF4"/>
    <w:rsid w:val="00080B31"/>
    <w:rsid w:val="000828B9"/>
    <w:rsid w:val="000844C5"/>
    <w:rsid w:val="000904AF"/>
    <w:rsid w:val="00091735"/>
    <w:rsid w:val="00092A4B"/>
    <w:rsid w:val="000937FD"/>
    <w:rsid w:val="00093D95"/>
    <w:rsid w:val="000943A7"/>
    <w:rsid w:val="00096079"/>
    <w:rsid w:val="000A1837"/>
    <w:rsid w:val="000B18BE"/>
    <w:rsid w:val="000B648A"/>
    <w:rsid w:val="000C527A"/>
    <w:rsid w:val="000D3237"/>
    <w:rsid w:val="000D7076"/>
    <w:rsid w:val="000E33C4"/>
    <w:rsid w:val="000E459F"/>
    <w:rsid w:val="000E555B"/>
    <w:rsid w:val="000E68B0"/>
    <w:rsid w:val="000F5E05"/>
    <w:rsid w:val="00103BA7"/>
    <w:rsid w:val="0010446F"/>
    <w:rsid w:val="00114136"/>
    <w:rsid w:val="00114EE6"/>
    <w:rsid w:val="00116D9A"/>
    <w:rsid w:val="00117277"/>
    <w:rsid w:val="00123682"/>
    <w:rsid w:val="0013164D"/>
    <w:rsid w:val="001379A5"/>
    <w:rsid w:val="0014240D"/>
    <w:rsid w:val="00144E91"/>
    <w:rsid w:val="001460CA"/>
    <w:rsid w:val="0015527D"/>
    <w:rsid w:val="00160F7B"/>
    <w:rsid w:val="001641AB"/>
    <w:rsid w:val="00165F88"/>
    <w:rsid w:val="00172E7E"/>
    <w:rsid w:val="00176728"/>
    <w:rsid w:val="00182A80"/>
    <w:rsid w:val="00192F6A"/>
    <w:rsid w:val="00196B73"/>
    <w:rsid w:val="001A0F28"/>
    <w:rsid w:val="001A5E0D"/>
    <w:rsid w:val="001C4367"/>
    <w:rsid w:val="001C6F5D"/>
    <w:rsid w:val="001E19DE"/>
    <w:rsid w:val="001F054F"/>
    <w:rsid w:val="001F5931"/>
    <w:rsid w:val="001F5FA5"/>
    <w:rsid w:val="002048C2"/>
    <w:rsid w:val="00210D46"/>
    <w:rsid w:val="00216425"/>
    <w:rsid w:val="00220DBD"/>
    <w:rsid w:val="002252EF"/>
    <w:rsid w:val="00227D3A"/>
    <w:rsid w:val="00233662"/>
    <w:rsid w:val="002358DC"/>
    <w:rsid w:val="002359EF"/>
    <w:rsid w:val="00237425"/>
    <w:rsid w:val="00237DE4"/>
    <w:rsid w:val="00241EE3"/>
    <w:rsid w:val="00243D00"/>
    <w:rsid w:val="0024467B"/>
    <w:rsid w:val="002464E8"/>
    <w:rsid w:val="0024686D"/>
    <w:rsid w:val="00250893"/>
    <w:rsid w:val="00255282"/>
    <w:rsid w:val="00262256"/>
    <w:rsid w:val="0027246E"/>
    <w:rsid w:val="00275D51"/>
    <w:rsid w:val="00277F60"/>
    <w:rsid w:val="002822C7"/>
    <w:rsid w:val="00283CF9"/>
    <w:rsid w:val="00290A68"/>
    <w:rsid w:val="00292D5E"/>
    <w:rsid w:val="00293336"/>
    <w:rsid w:val="00297075"/>
    <w:rsid w:val="002A0CD8"/>
    <w:rsid w:val="002A2A99"/>
    <w:rsid w:val="002A6C9A"/>
    <w:rsid w:val="002A7EB6"/>
    <w:rsid w:val="002B0472"/>
    <w:rsid w:val="002B1D58"/>
    <w:rsid w:val="002B7E0C"/>
    <w:rsid w:val="002C3B64"/>
    <w:rsid w:val="002C67B7"/>
    <w:rsid w:val="002D3248"/>
    <w:rsid w:val="002D64DC"/>
    <w:rsid w:val="002E027A"/>
    <w:rsid w:val="002E5941"/>
    <w:rsid w:val="002E6BE1"/>
    <w:rsid w:val="002E7771"/>
    <w:rsid w:val="002F67CA"/>
    <w:rsid w:val="00301CE3"/>
    <w:rsid w:val="00316F78"/>
    <w:rsid w:val="003214C5"/>
    <w:rsid w:val="00321C08"/>
    <w:rsid w:val="00323C40"/>
    <w:rsid w:val="0032744F"/>
    <w:rsid w:val="003322E7"/>
    <w:rsid w:val="00335C73"/>
    <w:rsid w:val="00340BE2"/>
    <w:rsid w:val="0034219F"/>
    <w:rsid w:val="003426D3"/>
    <w:rsid w:val="003427F6"/>
    <w:rsid w:val="00345299"/>
    <w:rsid w:val="00352E8D"/>
    <w:rsid w:val="0035703B"/>
    <w:rsid w:val="00360153"/>
    <w:rsid w:val="00361C88"/>
    <w:rsid w:val="00363D33"/>
    <w:rsid w:val="00363DE2"/>
    <w:rsid w:val="0036708E"/>
    <w:rsid w:val="00367191"/>
    <w:rsid w:val="00377A69"/>
    <w:rsid w:val="00384BD8"/>
    <w:rsid w:val="00384BEE"/>
    <w:rsid w:val="00386BAA"/>
    <w:rsid w:val="0039152F"/>
    <w:rsid w:val="00394667"/>
    <w:rsid w:val="00396741"/>
    <w:rsid w:val="003A28B7"/>
    <w:rsid w:val="003A4799"/>
    <w:rsid w:val="003A54D7"/>
    <w:rsid w:val="003A7505"/>
    <w:rsid w:val="003B4DED"/>
    <w:rsid w:val="003B5641"/>
    <w:rsid w:val="003B6195"/>
    <w:rsid w:val="003C0CC4"/>
    <w:rsid w:val="003C1ED8"/>
    <w:rsid w:val="003C2826"/>
    <w:rsid w:val="003C739D"/>
    <w:rsid w:val="003D20C3"/>
    <w:rsid w:val="003D484C"/>
    <w:rsid w:val="003D6091"/>
    <w:rsid w:val="003E269E"/>
    <w:rsid w:val="003F1D1E"/>
    <w:rsid w:val="00402160"/>
    <w:rsid w:val="0040400F"/>
    <w:rsid w:val="0040534B"/>
    <w:rsid w:val="00405859"/>
    <w:rsid w:val="004121F7"/>
    <w:rsid w:val="00417B77"/>
    <w:rsid w:val="00426781"/>
    <w:rsid w:val="0043528E"/>
    <w:rsid w:val="004505C6"/>
    <w:rsid w:val="00455745"/>
    <w:rsid w:val="00470C12"/>
    <w:rsid w:val="0047218C"/>
    <w:rsid w:val="00474BE2"/>
    <w:rsid w:val="0047515E"/>
    <w:rsid w:val="00477EB3"/>
    <w:rsid w:val="00481D99"/>
    <w:rsid w:val="00483993"/>
    <w:rsid w:val="0049457C"/>
    <w:rsid w:val="00496DBC"/>
    <w:rsid w:val="004A30BA"/>
    <w:rsid w:val="004A35B8"/>
    <w:rsid w:val="004A5920"/>
    <w:rsid w:val="004A69E1"/>
    <w:rsid w:val="004A796A"/>
    <w:rsid w:val="004B241B"/>
    <w:rsid w:val="004C1291"/>
    <w:rsid w:val="004D5196"/>
    <w:rsid w:val="004D51EB"/>
    <w:rsid w:val="004D536B"/>
    <w:rsid w:val="004E6205"/>
    <w:rsid w:val="004F3571"/>
    <w:rsid w:val="00500AA6"/>
    <w:rsid w:val="005019EA"/>
    <w:rsid w:val="00521494"/>
    <w:rsid w:val="0052217B"/>
    <w:rsid w:val="00524831"/>
    <w:rsid w:val="00525FCC"/>
    <w:rsid w:val="0053206D"/>
    <w:rsid w:val="00533484"/>
    <w:rsid w:val="0054223A"/>
    <w:rsid w:val="00545D01"/>
    <w:rsid w:val="00545FB3"/>
    <w:rsid w:val="00546D93"/>
    <w:rsid w:val="00550A14"/>
    <w:rsid w:val="0055688F"/>
    <w:rsid w:val="00560256"/>
    <w:rsid w:val="005676D6"/>
    <w:rsid w:val="00573B41"/>
    <w:rsid w:val="00574DBD"/>
    <w:rsid w:val="00574FA9"/>
    <w:rsid w:val="005777C1"/>
    <w:rsid w:val="005908BF"/>
    <w:rsid w:val="00593095"/>
    <w:rsid w:val="00593CBE"/>
    <w:rsid w:val="005961C3"/>
    <w:rsid w:val="00596981"/>
    <w:rsid w:val="005A01F9"/>
    <w:rsid w:val="005A0C49"/>
    <w:rsid w:val="005B0C7D"/>
    <w:rsid w:val="005B1874"/>
    <w:rsid w:val="005B1EA9"/>
    <w:rsid w:val="005B2508"/>
    <w:rsid w:val="005B2D3F"/>
    <w:rsid w:val="005B5824"/>
    <w:rsid w:val="005C0F51"/>
    <w:rsid w:val="005C3C3F"/>
    <w:rsid w:val="005D103E"/>
    <w:rsid w:val="005D427F"/>
    <w:rsid w:val="005D6584"/>
    <w:rsid w:val="005E423E"/>
    <w:rsid w:val="005E53C3"/>
    <w:rsid w:val="005E6067"/>
    <w:rsid w:val="005F1059"/>
    <w:rsid w:val="005F2851"/>
    <w:rsid w:val="00604393"/>
    <w:rsid w:val="00605E76"/>
    <w:rsid w:val="00607AD7"/>
    <w:rsid w:val="00614234"/>
    <w:rsid w:val="00614D2A"/>
    <w:rsid w:val="006274A2"/>
    <w:rsid w:val="0063362D"/>
    <w:rsid w:val="00640D82"/>
    <w:rsid w:val="00644E92"/>
    <w:rsid w:val="00646133"/>
    <w:rsid w:val="00646988"/>
    <w:rsid w:val="00650E62"/>
    <w:rsid w:val="0065796A"/>
    <w:rsid w:val="00661F7A"/>
    <w:rsid w:val="00662979"/>
    <w:rsid w:val="00672651"/>
    <w:rsid w:val="00673625"/>
    <w:rsid w:val="0067685C"/>
    <w:rsid w:val="00677256"/>
    <w:rsid w:val="00677751"/>
    <w:rsid w:val="00677BF3"/>
    <w:rsid w:val="00681C1A"/>
    <w:rsid w:val="006826A7"/>
    <w:rsid w:val="006833D7"/>
    <w:rsid w:val="00696E36"/>
    <w:rsid w:val="006A12AC"/>
    <w:rsid w:val="006A531F"/>
    <w:rsid w:val="006B5015"/>
    <w:rsid w:val="006C1865"/>
    <w:rsid w:val="006C5017"/>
    <w:rsid w:val="006C5B22"/>
    <w:rsid w:val="006C75B2"/>
    <w:rsid w:val="006E255C"/>
    <w:rsid w:val="006E2B0A"/>
    <w:rsid w:val="006F1338"/>
    <w:rsid w:val="00702501"/>
    <w:rsid w:val="007025C8"/>
    <w:rsid w:val="00707388"/>
    <w:rsid w:val="00707A2B"/>
    <w:rsid w:val="00710812"/>
    <w:rsid w:val="0071205F"/>
    <w:rsid w:val="007147A1"/>
    <w:rsid w:val="0071483B"/>
    <w:rsid w:val="007207EA"/>
    <w:rsid w:val="007208DE"/>
    <w:rsid w:val="00720A46"/>
    <w:rsid w:val="00723FA7"/>
    <w:rsid w:val="007321E5"/>
    <w:rsid w:val="00737908"/>
    <w:rsid w:val="00737FC4"/>
    <w:rsid w:val="0074787F"/>
    <w:rsid w:val="0075026E"/>
    <w:rsid w:val="007525BB"/>
    <w:rsid w:val="00754195"/>
    <w:rsid w:val="007610D3"/>
    <w:rsid w:val="0076200A"/>
    <w:rsid w:val="00762EF3"/>
    <w:rsid w:val="007639E4"/>
    <w:rsid w:val="00776B22"/>
    <w:rsid w:val="00784BBD"/>
    <w:rsid w:val="00786EED"/>
    <w:rsid w:val="0079347E"/>
    <w:rsid w:val="00793500"/>
    <w:rsid w:val="00793937"/>
    <w:rsid w:val="007A052F"/>
    <w:rsid w:val="007A6769"/>
    <w:rsid w:val="007A7AFE"/>
    <w:rsid w:val="007B02E1"/>
    <w:rsid w:val="007B0A6C"/>
    <w:rsid w:val="007B1CD4"/>
    <w:rsid w:val="007B5820"/>
    <w:rsid w:val="007B7590"/>
    <w:rsid w:val="007C0029"/>
    <w:rsid w:val="007C1462"/>
    <w:rsid w:val="007C3565"/>
    <w:rsid w:val="007D0843"/>
    <w:rsid w:val="007D1B10"/>
    <w:rsid w:val="007D2DA3"/>
    <w:rsid w:val="007E436D"/>
    <w:rsid w:val="007E5E05"/>
    <w:rsid w:val="007E63AB"/>
    <w:rsid w:val="007E65C0"/>
    <w:rsid w:val="007E75BB"/>
    <w:rsid w:val="007F3464"/>
    <w:rsid w:val="007F6A2C"/>
    <w:rsid w:val="00800944"/>
    <w:rsid w:val="0080631F"/>
    <w:rsid w:val="008149AA"/>
    <w:rsid w:val="00817B37"/>
    <w:rsid w:val="0082125E"/>
    <w:rsid w:val="00823719"/>
    <w:rsid w:val="008277BE"/>
    <w:rsid w:val="0083050C"/>
    <w:rsid w:val="00832067"/>
    <w:rsid w:val="00833776"/>
    <w:rsid w:val="00834AAD"/>
    <w:rsid w:val="00834FB3"/>
    <w:rsid w:val="00843204"/>
    <w:rsid w:val="008452FD"/>
    <w:rsid w:val="0084756E"/>
    <w:rsid w:val="008551A3"/>
    <w:rsid w:val="00855555"/>
    <w:rsid w:val="0086188B"/>
    <w:rsid w:val="008643E0"/>
    <w:rsid w:val="00865EDE"/>
    <w:rsid w:val="00866111"/>
    <w:rsid w:val="008668FC"/>
    <w:rsid w:val="00870BE6"/>
    <w:rsid w:val="00877CA6"/>
    <w:rsid w:val="00880062"/>
    <w:rsid w:val="008839CC"/>
    <w:rsid w:val="00885616"/>
    <w:rsid w:val="008874C4"/>
    <w:rsid w:val="00891D76"/>
    <w:rsid w:val="00893283"/>
    <w:rsid w:val="008A327C"/>
    <w:rsid w:val="008B2593"/>
    <w:rsid w:val="008B5076"/>
    <w:rsid w:val="008B55C2"/>
    <w:rsid w:val="008C46B1"/>
    <w:rsid w:val="008C5009"/>
    <w:rsid w:val="008C52B7"/>
    <w:rsid w:val="008C6822"/>
    <w:rsid w:val="008C7212"/>
    <w:rsid w:val="008D0607"/>
    <w:rsid w:val="008D32A6"/>
    <w:rsid w:val="008D3C6E"/>
    <w:rsid w:val="008D6F6E"/>
    <w:rsid w:val="008D74D0"/>
    <w:rsid w:val="008D7B88"/>
    <w:rsid w:val="008E0F29"/>
    <w:rsid w:val="008E350F"/>
    <w:rsid w:val="008F0DF1"/>
    <w:rsid w:val="008F5EC5"/>
    <w:rsid w:val="008F6099"/>
    <w:rsid w:val="00900AAB"/>
    <w:rsid w:val="00901351"/>
    <w:rsid w:val="009050FF"/>
    <w:rsid w:val="0090511F"/>
    <w:rsid w:val="00912080"/>
    <w:rsid w:val="00922B63"/>
    <w:rsid w:val="00922BC4"/>
    <w:rsid w:val="0092667E"/>
    <w:rsid w:val="00927456"/>
    <w:rsid w:val="00931D90"/>
    <w:rsid w:val="009339A7"/>
    <w:rsid w:val="00934459"/>
    <w:rsid w:val="00936463"/>
    <w:rsid w:val="00943051"/>
    <w:rsid w:val="009438C3"/>
    <w:rsid w:val="009464B2"/>
    <w:rsid w:val="00946A36"/>
    <w:rsid w:val="009617F9"/>
    <w:rsid w:val="009662E7"/>
    <w:rsid w:val="00967477"/>
    <w:rsid w:val="009704C6"/>
    <w:rsid w:val="00972E62"/>
    <w:rsid w:val="0097378C"/>
    <w:rsid w:val="00981B3B"/>
    <w:rsid w:val="0098253C"/>
    <w:rsid w:val="00987D72"/>
    <w:rsid w:val="00991ADA"/>
    <w:rsid w:val="0099374D"/>
    <w:rsid w:val="009A654D"/>
    <w:rsid w:val="009B4232"/>
    <w:rsid w:val="009B78DB"/>
    <w:rsid w:val="009C00B9"/>
    <w:rsid w:val="009C2F10"/>
    <w:rsid w:val="009C3BD7"/>
    <w:rsid w:val="009C3C87"/>
    <w:rsid w:val="009C42DB"/>
    <w:rsid w:val="009C59D0"/>
    <w:rsid w:val="009D165D"/>
    <w:rsid w:val="009D4CA0"/>
    <w:rsid w:val="009D6299"/>
    <w:rsid w:val="009D651C"/>
    <w:rsid w:val="009E115D"/>
    <w:rsid w:val="009E25FA"/>
    <w:rsid w:val="009E2D1F"/>
    <w:rsid w:val="009F3346"/>
    <w:rsid w:val="009F72C2"/>
    <w:rsid w:val="00A034F3"/>
    <w:rsid w:val="00A0756F"/>
    <w:rsid w:val="00A12EA3"/>
    <w:rsid w:val="00A15871"/>
    <w:rsid w:val="00A16DFF"/>
    <w:rsid w:val="00A176CC"/>
    <w:rsid w:val="00A236F4"/>
    <w:rsid w:val="00A24CB6"/>
    <w:rsid w:val="00A26642"/>
    <w:rsid w:val="00A32006"/>
    <w:rsid w:val="00A3300F"/>
    <w:rsid w:val="00A330F5"/>
    <w:rsid w:val="00A4035F"/>
    <w:rsid w:val="00A40E37"/>
    <w:rsid w:val="00A429C9"/>
    <w:rsid w:val="00A45402"/>
    <w:rsid w:val="00A561DA"/>
    <w:rsid w:val="00A603D3"/>
    <w:rsid w:val="00A6299C"/>
    <w:rsid w:val="00A64BD3"/>
    <w:rsid w:val="00A66C7E"/>
    <w:rsid w:val="00A704EB"/>
    <w:rsid w:val="00A70DD5"/>
    <w:rsid w:val="00A76F29"/>
    <w:rsid w:val="00A81160"/>
    <w:rsid w:val="00A859FB"/>
    <w:rsid w:val="00A87A73"/>
    <w:rsid w:val="00A9057F"/>
    <w:rsid w:val="00A905CE"/>
    <w:rsid w:val="00A946CC"/>
    <w:rsid w:val="00A95DCF"/>
    <w:rsid w:val="00AA214D"/>
    <w:rsid w:val="00AA4C23"/>
    <w:rsid w:val="00AA55B3"/>
    <w:rsid w:val="00AA60AB"/>
    <w:rsid w:val="00AB0631"/>
    <w:rsid w:val="00AB2AF8"/>
    <w:rsid w:val="00AB357C"/>
    <w:rsid w:val="00AB3E14"/>
    <w:rsid w:val="00AB6764"/>
    <w:rsid w:val="00AB7EBF"/>
    <w:rsid w:val="00AC30BD"/>
    <w:rsid w:val="00AC5669"/>
    <w:rsid w:val="00AC63EB"/>
    <w:rsid w:val="00AD08C1"/>
    <w:rsid w:val="00AD216C"/>
    <w:rsid w:val="00AE1D4B"/>
    <w:rsid w:val="00AE41E2"/>
    <w:rsid w:val="00AE4DA6"/>
    <w:rsid w:val="00AE7809"/>
    <w:rsid w:val="00AF053A"/>
    <w:rsid w:val="00AF737A"/>
    <w:rsid w:val="00B020D3"/>
    <w:rsid w:val="00B04758"/>
    <w:rsid w:val="00B05523"/>
    <w:rsid w:val="00B1358E"/>
    <w:rsid w:val="00B1603C"/>
    <w:rsid w:val="00B16B48"/>
    <w:rsid w:val="00B2269F"/>
    <w:rsid w:val="00B42D0C"/>
    <w:rsid w:val="00B450D9"/>
    <w:rsid w:val="00B511B1"/>
    <w:rsid w:val="00B5177C"/>
    <w:rsid w:val="00B641F9"/>
    <w:rsid w:val="00B6659C"/>
    <w:rsid w:val="00B70B6E"/>
    <w:rsid w:val="00B714B3"/>
    <w:rsid w:val="00B729D4"/>
    <w:rsid w:val="00B749FD"/>
    <w:rsid w:val="00B7566E"/>
    <w:rsid w:val="00B7626B"/>
    <w:rsid w:val="00B85474"/>
    <w:rsid w:val="00B87E4C"/>
    <w:rsid w:val="00B94521"/>
    <w:rsid w:val="00B95702"/>
    <w:rsid w:val="00B961C4"/>
    <w:rsid w:val="00BA0D2C"/>
    <w:rsid w:val="00BA1897"/>
    <w:rsid w:val="00BA5DC4"/>
    <w:rsid w:val="00BA6E14"/>
    <w:rsid w:val="00BB24A4"/>
    <w:rsid w:val="00BD44D0"/>
    <w:rsid w:val="00BE1BA1"/>
    <w:rsid w:val="00BE7F55"/>
    <w:rsid w:val="00BF0D0A"/>
    <w:rsid w:val="00BF19DE"/>
    <w:rsid w:val="00BF558F"/>
    <w:rsid w:val="00BF5E23"/>
    <w:rsid w:val="00BF5E96"/>
    <w:rsid w:val="00C02405"/>
    <w:rsid w:val="00C03908"/>
    <w:rsid w:val="00C0546C"/>
    <w:rsid w:val="00C12ADF"/>
    <w:rsid w:val="00C12BF1"/>
    <w:rsid w:val="00C134A0"/>
    <w:rsid w:val="00C169F7"/>
    <w:rsid w:val="00C17030"/>
    <w:rsid w:val="00C1769E"/>
    <w:rsid w:val="00C22EBE"/>
    <w:rsid w:val="00C30C06"/>
    <w:rsid w:val="00C32385"/>
    <w:rsid w:val="00C34403"/>
    <w:rsid w:val="00C35DC6"/>
    <w:rsid w:val="00C405A4"/>
    <w:rsid w:val="00C446A0"/>
    <w:rsid w:val="00C503D0"/>
    <w:rsid w:val="00C5426B"/>
    <w:rsid w:val="00C54B1D"/>
    <w:rsid w:val="00C56900"/>
    <w:rsid w:val="00C572AC"/>
    <w:rsid w:val="00C6181C"/>
    <w:rsid w:val="00C6301D"/>
    <w:rsid w:val="00C636C8"/>
    <w:rsid w:val="00C63F0D"/>
    <w:rsid w:val="00C66121"/>
    <w:rsid w:val="00C66E5A"/>
    <w:rsid w:val="00C846C0"/>
    <w:rsid w:val="00C84A31"/>
    <w:rsid w:val="00C966EF"/>
    <w:rsid w:val="00C976C3"/>
    <w:rsid w:val="00CA1C2F"/>
    <w:rsid w:val="00CA22E0"/>
    <w:rsid w:val="00CA35AA"/>
    <w:rsid w:val="00CA54B9"/>
    <w:rsid w:val="00CA76CB"/>
    <w:rsid w:val="00CB385E"/>
    <w:rsid w:val="00CB6646"/>
    <w:rsid w:val="00CC1D92"/>
    <w:rsid w:val="00CC6E25"/>
    <w:rsid w:val="00CC78E7"/>
    <w:rsid w:val="00CD188C"/>
    <w:rsid w:val="00CD4E57"/>
    <w:rsid w:val="00CE628D"/>
    <w:rsid w:val="00CF6A7A"/>
    <w:rsid w:val="00D03DBF"/>
    <w:rsid w:val="00D06EF1"/>
    <w:rsid w:val="00D077F4"/>
    <w:rsid w:val="00D1514B"/>
    <w:rsid w:val="00D1536F"/>
    <w:rsid w:val="00D15676"/>
    <w:rsid w:val="00D25379"/>
    <w:rsid w:val="00D27FD5"/>
    <w:rsid w:val="00D3151C"/>
    <w:rsid w:val="00D327A3"/>
    <w:rsid w:val="00D36A37"/>
    <w:rsid w:val="00D41F25"/>
    <w:rsid w:val="00D42AB0"/>
    <w:rsid w:val="00D435EB"/>
    <w:rsid w:val="00D43753"/>
    <w:rsid w:val="00D530E5"/>
    <w:rsid w:val="00D616C9"/>
    <w:rsid w:val="00D62920"/>
    <w:rsid w:val="00D6641A"/>
    <w:rsid w:val="00D664E8"/>
    <w:rsid w:val="00D66B24"/>
    <w:rsid w:val="00D70EBB"/>
    <w:rsid w:val="00D71277"/>
    <w:rsid w:val="00D71C63"/>
    <w:rsid w:val="00D74792"/>
    <w:rsid w:val="00D8156C"/>
    <w:rsid w:val="00D91CA4"/>
    <w:rsid w:val="00D941A4"/>
    <w:rsid w:val="00D95299"/>
    <w:rsid w:val="00DA18AE"/>
    <w:rsid w:val="00DA5F84"/>
    <w:rsid w:val="00DB3568"/>
    <w:rsid w:val="00DB55A7"/>
    <w:rsid w:val="00DB7221"/>
    <w:rsid w:val="00DB7791"/>
    <w:rsid w:val="00DC26B2"/>
    <w:rsid w:val="00DC32B6"/>
    <w:rsid w:val="00DC40CD"/>
    <w:rsid w:val="00DC6A16"/>
    <w:rsid w:val="00DD017B"/>
    <w:rsid w:val="00DD09C9"/>
    <w:rsid w:val="00DD0DDE"/>
    <w:rsid w:val="00DD6E6F"/>
    <w:rsid w:val="00DE35F9"/>
    <w:rsid w:val="00DE39D3"/>
    <w:rsid w:val="00DF39F0"/>
    <w:rsid w:val="00DF6BAD"/>
    <w:rsid w:val="00E0326C"/>
    <w:rsid w:val="00E040CD"/>
    <w:rsid w:val="00E071F1"/>
    <w:rsid w:val="00E07F5B"/>
    <w:rsid w:val="00E21324"/>
    <w:rsid w:val="00E338D1"/>
    <w:rsid w:val="00E36A63"/>
    <w:rsid w:val="00E43FCD"/>
    <w:rsid w:val="00E44D2B"/>
    <w:rsid w:val="00E467C6"/>
    <w:rsid w:val="00E52890"/>
    <w:rsid w:val="00E610B8"/>
    <w:rsid w:val="00E61DD8"/>
    <w:rsid w:val="00E66A1D"/>
    <w:rsid w:val="00E7270A"/>
    <w:rsid w:val="00E81465"/>
    <w:rsid w:val="00E853DA"/>
    <w:rsid w:val="00E938C4"/>
    <w:rsid w:val="00E95587"/>
    <w:rsid w:val="00E95838"/>
    <w:rsid w:val="00E95D21"/>
    <w:rsid w:val="00E96698"/>
    <w:rsid w:val="00E969F6"/>
    <w:rsid w:val="00EA773F"/>
    <w:rsid w:val="00EB14FB"/>
    <w:rsid w:val="00EB3FD2"/>
    <w:rsid w:val="00EB6321"/>
    <w:rsid w:val="00EC2C13"/>
    <w:rsid w:val="00EC57FF"/>
    <w:rsid w:val="00EC71FC"/>
    <w:rsid w:val="00ED5819"/>
    <w:rsid w:val="00EE061D"/>
    <w:rsid w:val="00EE0D9D"/>
    <w:rsid w:val="00EE1869"/>
    <w:rsid w:val="00EE7118"/>
    <w:rsid w:val="00EE76BB"/>
    <w:rsid w:val="00EF0489"/>
    <w:rsid w:val="00EF085F"/>
    <w:rsid w:val="00EF0B17"/>
    <w:rsid w:val="00EF0C16"/>
    <w:rsid w:val="00EF0FEC"/>
    <w:rsid w:val="00EF1540"/>
    <w:rsid w:val="00EF2CA8"/>
    <w:rsid w:val="00EF2F3C"/>
    <w:rsid w:val="00EF6846"/>
    <w:rsid w:val="00EF7C55"/>
    <w:rsid w:val="00F07EB8"/>
    <w:rsid w:val="00F103A6"/>
    <w:rsid w:val="00F107F5"/>
    <w:rsid w:val="00F10AAC"/>
    <w:rsid w:val="00F13A7E"/>
    <w:rsid w:val="00F14344"/>
    <w:rsid w:val="00F16440"/>
    <w:rsid w:val="00F16B99"/>
    <w:rsid w:val="00F20F7D"/>
    <w:rsid w:val="00F21874"/>
    <w:rsid w:val="00F30539"/>
    <w:rsid w:val="00F3362C"/>
    <w:rsid w:val="00F403A0"/>
    <w:rsid w:val="00F419E8"/>
    <w:rsid w:val="00F42C67"/>
    <w:rsid w:val="00F4332D"/>
    <w:rsid w:val="00F43A01"/>
    <w:rsid w:val="00F5265E"/>
    <w:rsid w:val="00F54487"/>
    <w:rsid w:val="00F65764"/>
    <w:rsid w:val="00F66A0A"/>
    <w:rsid w:val="00F72063"/>
    <w:rsid w:val="00F75B0A"/>
    <w:rsid w:val="00F85CF7"/>
    <w:rsid w:val="00F868D4"/>
    <w:rsid w:val="00F93F4D"/>
    <w:rsid w:val="00F9408A"/>
    <w:rsid w:val="00F95ADA"/>
    <w:rsid w:val="00FA1946"/>
    <w:rsid w:val="00FA4DD7"/>
    <w:rsid w:val="00FB0714"/>
    <w:rsid w:val="00FC0612"/>
    <w:rsid w:val="00FC2C90"/>
    <w:rsid w:val="00FC6D41"/>
    <w:rsid w:val="00FC6E45"/>
    <w:rsid w:val="00FC6F9D"/>
    <w:rsid w:val="00FD1E53"/>
    <w:rsid w:val="00FD22DF"/>
    <w:rsid w:val="00FD5A4D"/>
    <w:rsid w:val="00FD7342"/>
    <w:rsid w:val="00FD7754"/>
    <w:rsid w:val="00FE1833"/>
    <w:rsid w:val="00FE3333"/>
    <w:rsid w:val="00FE44B1"/>
    <w:rsid w:val="00FE5985"/>
    <w:rsid w:val="00FE63C1"/>
    <w:rsid w:val="00FE6C5C"/>
    <w:rsid w:val="00FF0C49"/>
    <w:rsid w:val="00FF3064"/>
    <w:rsid w:val="00FF4C50"/>
    <w:rsid w:val="00FF656E"/>
    <w:rsid w:val="00FF724A"/>
    <w:rsid w:val="00FF7CFB"/>
    <w:rsid w:val="02722425"/>
    <w:rsid w:val="02F9648D"/>
    <w:rsid w:val="10600EA0"/>
    <w:rsid w:val="13D52F27"/>
    <w:rsid w:val="15A66EC6"/>
    <w:rsid w:val="16D9D1F5"/>
    <w:rsid w:val="1A968F25"/>
    <w:rsid w:val="1FAA0CD2"/>
    <w:rsid w:val="2B472196"/>
    <w:rsid w:val="311DC6B0"/>
    <w:rsid w:val="3AC403C4"/>
    <w:rsid w:val="40290A23"/>
    <w:rsid w:val="43BB2485"/>
    <w:rsid w:val="461FAD12"/>
    <w:rsid w:val="4818E622"/>
    <w:rsid w:val="4BC02853"/>
    <w:rsid w:val="5801752B"/>
    <w:rsid w:val="5FB2DA03"/>
    <w:rsid w:val="712B4C3E"/>
    <w:rsid w:val="7EC86216"/>
    <w:rsid w:val="7F56DC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2F1B"/>
  <w15:docId w15:val="{F8C57AB6-6B11-4603-BDC1-23899CE4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C35DC6"/>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94"/>
    <w:qFormat/>
    <w:rsid w:val="007E436D"/>
    <w:pPr>
      <w:numPr>
        <w:numId w:val="12"/>
      </w:numPr>
      <w:spacing w:after="60"/>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94"/>
    <w:rsid w:val="007E436D"/>
    <w:rPr>
      <w:color w:val="000000"/>
      <w:szCs w:val="22"/>
    </w:rPr>
  </w:style>
  <w:style w:type="table" w:styleId="TableGrid">
    <w:name w:val="Table Grid"/>
    <w:basedOn w:val="TableNormal"/>
    <w:uiPriority w:val="3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CommentReference">
    <w:name w:val="annotation reference"/>
    <w:basedOn w:val="DefaultParagraphFont"/>
    <w:uiPriority w:val="99"/>
    <w:semiHidden/>
    <w:unhideWhenUsed/>
    <w:rsid w:val="004E6205"/>
    <w:rPr>
      <w:sz w:val="16"/>
      <w:szCs w:val="16"/>
    </w:rPr>
  </w:style>
  <w:style w:type="paragraph" w:styleId="CommentText">
    <w:name w:val="annotation text"/>
    <w:basedOn w:val="Normal"/>
    <w:link w:val="CommentTextChar"/>
    <w:uiPriority w:val="99"/>
    <w:unhideWhenUsed/>
    <w:rsid w:val="004E6205"/>
    <w:rPr>
      <w:sz w:val="20"/>
      <w:szCs w:val="20"/>
    </w:rPr>
  </w:style>
  <w:style w:type="character" w:customStyle="1" w:styleId="CommentTextChar">
    <w:name w:val="Comment Text Char"/>
    <w:basedOn w:val="DefaultParagraphFont"/>
    <w:link w:val="CommentText"/>
    <w:uiPriority w:val="99"/>
    <w:rsid w:val="004E6205"/>
    <w:rPr>
      <w:sz w:val="20"/>
      <w:szCs w:val="20"/>
    </w:rPr>
  </w:style>
  <w:style w:type="paragraph" w:styleId="CommentSubject">
    <w:name w:val="annotation subject"/>
    <w:basedOn w:val="CommentText"/>
    <w:next w:val="CommentText"/>
    <w:link w:val="CommentSubjectChar"/>
    <w:uiPriority w:val="99"/>
    <w:semiHidden/>
    <w:unhideWhenUsed/>
    <w:rsid w:val="004E6205"/>
    <w:rPr>
      <w:b/>
      <w:bCs/>
    </w:rPr>
  </w:style>
  <w:style w:type="character" w:customStyle="1" w:styleId="CommentSubjectChar">
    <w:name w:val="Comment Subject Char"/>
    <w:basedOn w:val="CommentTextChar"/>
    <w:link w:val="CommentSubject"/>
    <w:uiPriority w:val="99"/>
    <w:semiHidden/>
    <w:rsid w:val="004E6205"/>
    <w:rPr>
      <w:b/>
      <w:bCs/>
      <w:sz w:val="20"/>
      <w:szCs w:val="20"/>
    </w:rPr>
  </w:style>
  <w:style w:type="paragraph" w:styleId="BalloonText">
    <w:name w:val="Balloon Text"/>
    <w:basedOn w:val="Normal"/>
    <w:link w:val="BalloonTextChar"/>
    <w:uiPriority w:val="99"/>
    <w:semiHidden/>
    <w:unhideWhenUsed/>
    <w:rsid w:val="004E62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05"/>
    <w:rPr>
      <w:rFonts w:ascii="Segoe UI" w:hAnsi="Segoe UI" w:cs="Segoe UI"/>
      <w:sz w:val="18"/>
      <w:szCs w:val="18"/>
    </w:rPr>
  </w:style>
  <w:style w:type="paragraph" w:styleId="Header">
    <w:name w:val="header"/>
    <w:basedOn w:val="Normal"/>
    <w:link w:val="HeaderChar"/>
    <w:uiPriority w:val="99"/>
    <w:unhideWhenUsed/>
    <w:rsid w:val="00593095"/>
    <w:pPr>
      <w:tabs>
        <w:tab w:val="center" w:pos="4513"/>
        <w:tab w:val="right" w:pos="9026"/>
      </w:tabs>
      <w:spacing w:after="0"/>
    </w:pPr>
  </w:style>
  <w:style w:type="character" w:customStyle="1" w:styleId="HeaderChar">
    <w:name w:val="Header Char"/>
    <w:basedOn w:val="DefaultParagraphFont"/>
    <w:link w:val="Header"/>
    <w:uiPriority w:val="99"/>
    <w:rsid w:val="00593095"/>
  </w:style>
  <w:style w:type="paragraph" w:styleId="Footer">
    <w:name w:val="footer"/>
    <w:basedOn w:val="Normal"/>
    <w:link w:val="FooterChar"/>
    <w:uiPriority w:val="99"/>
    <w:unhideWhenUsed/>
    <w:rsid w:val="00593095"/>
    <w:pPr>
      <w:tabs>
        <w:tab w:val="center" w:pos="4513"/>
        <w:tab w:val="right" w:pos="9026"/>
      </w:tabs>
      <w:spacing w:after="0"/>
    </w:pPr>
  </w:style>
  <w:style w:type="character" w:customStyle="1" w:styleId="FooterChar">
    <w:name w:val="Footer Char"/>
    <w:basedOn w:val="DefaultParagraphFont"/>
    <w:link w:val="Footer"/>
    <w:uiPriority w:val="99"/>
    <w:rsid w:val="00593095"/>
  </w:style>
  <w:style w:type="paragraph" w:styleId="TOCHeading">
    <w:name w:val="TOC Heading"/>
    <w:basedOn w:val="Heading1"/>
    <w:next w:val="Normal"/>
    <w:uiPriority w:val="39"/>
    <w:unhideWhenUsed/>
    <w:qFormat/>
    <w:rsid w:val="00AB6764"/>
    <w:pPr>
      <w:keepNext/>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6764"/>
    <w:pPr>
      <w:spacing w:after="100"/>
    </w:pPr>
  </w:style>
  <w:style w:type="character" w:styleId="Hyperlink">
    <w:name w:val="Hyperlink"/>
    <w:basedOn w:val="DefaultParagraphFont"/>
    <w:uiPriority w:val="99"/>
    <w:unhideWhenUsed/>
    <w:rsid w:val="00AB6764"/>
    <w:rPr>
      <w:color w:val="0000FF" w:themeColor="hyperlink"/>
      <w:u w:val="single"/>
    </w:rPr>
  </w:style>
  <w:style w:type="character" w:styleId="UnresolvedMention">
    <w:name w:val="Unresolved Mention"/>
    <w:basedOn w:val="DefaultParagraphFont"/>
    <w:uiPriority w:val="99"/>
    <w:semiHidden/>
    <w:unhideWhenUsed/>
    <w:rsid w:val="00AB6764"/>
    <w:rPr>
      <w:color w:val="605E5C"/>
      <w:shd w:val="clear" w:color="auto" w:fill="E1DFDD"/>
    </w:rPr>
  </w:style>
  <w:style w:type="paragraph" w:customStyle="1" w:styleId="msipheaderbd800373">
    <w:name w:val="msipheaderbd800373"/>
    <w:basedOn w:val="Normal"/>
    <w:rsid w:val="00EF0C16"/>
    <w:pPr>
      <w:suppressAutoHyphens w:val="0"/>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5E423E"/>
    <w:rPr>
      <w:color w:val="800080" w:themeColor="followedHyperlink"/>
      <w:u w:val="single"/>
    </w:rPr>
  </w:style>
  <w:style w:type="paragraph" w:styleId="TOC2">
    <w:name w:val="toc 2"/>
    <w:basedOn w:val="Normal"/>
    <w:next w:val="Normal"/>
    <w:autoRedefine/>
    <w:uiPriority w:val="39"/>
    <w:unhideWhenUsed/>
    <w:rsid w:val="00C6301D"/>
    <w:pPr>
      <w:spacing w:after="100"/>
      <w:ind w:left="240"/>
    </w:pPr>
  </w:style>
  <w:style w:type="table" w:styleId="ListTable3-Accent5">
    <w:name w:val="List Table 3 Accent 5"/>
    <w:basedOn w:val="TableNormal"/>
    <w:uiPriority w:val="48"/>
    <w:rsid w:val="008D0607"/>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Revision">
    <w:name w:val="Revision"/>
    <w:hidden/>
    <w:uiPriority w:val="99"/>
    <w:semiHidden/>
    <w:rsid w:val="0052217B"/>
    <w:pPr>
      <w:spacing w:after="0"/>
    </w:pPr>
  </w:style>
  <w:style w:type="paragraph" w:styleId="TOC3">
    <w:name w:val="toc 3"/>
    <w:basedOn w:val="Normal"/>
    <w:next w:val="Normal"/>
    <w:autoRedefine/>
    <w:uiPriority w:val="39"/>
    <w:unhideWhenUsed/>
    <w:rsid w:val="007D2D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ea01.safelinks.protection.outlook.com/?url=http%3A%2F%2Fwww.legislation.gov.uk%2Fssi%2F2015%2F62%2Fintroduction%2Fmade&amp;data=02%7C01%7CNatalie.Avery%40gov.wales%7Cffde0da48c4749822b8908d6303281a7%7Ca2cc36c592804ae78887d06dab89216b%7C0%7C0%7C636749390813568949&amp;sdata=GiW2kglGC%2BY5n0q%2FkKgBOcG6U2W5%2F9kT1%2BVcYqUrnWE%3D&amp;reserved=0" TargetMode="External"/><Relationship Id="rId18" Type="http://schemas.openxmlformats.org/officeDocument/2006/relationships/hyperlink" Target="https://www.gov.scot/publications/staying-put-scotland-providing-care-leavers-connectness-belonging/" TargetMode="External"/><Relationship Id="rId26" Type="http://schemas.openxmlformats.org/officeDocument/2006/relationships/hyperlink" Target="https://www.carereview.scot/conclusions/independent-care-review-reports/" TargetMode="External"/><Relationship Id="rId3" Type="http://schemas.openxmlformats.org/officeDocument/2006/relationships/customXml" Target="../customXml/item3.xml"/><Relationship Id="rId21" Type="http://schemas.openxmlformats.org/officeDocument/2006/relationships/hyperlink" Target="https://www.gov.scot/publications/guidance-part-10-aftercare-children-young-people-scotland-act-2014/" TargetMode="External"/><Relationship Id="rId7" Type="http://schemas.openxmlformats.org/officeDocument/2006/relationships/settings" Target="settings.xml"/><Relationship Id="rId12" Type="http://schemas.openxmlformats.org/officeDocument/2006/relationships/hyperlink" Target="https://www.gov.scot/publications/supporting-young-people-leaving-care-scotland-regulations-guidance-services-young/" TargetMode="External"/><Relationship Id="rId17" Type="http://schemas.openxmlformats.org/officeDocument/2006/relationships/hyperlink" Target="https://www.gov.scot/publications/bairns-guide-community-planning-partnerships-being-good-corporate-parent/" TargetMode="External"/><Relationship Id="rId25" Type="http://schemas.openxmlformats.org/officeDocument/2006/relationships/hyperlink" Target="https://www.scottishcareleaverscovenant.org/" TargetMode="External"/><Relationship Id="rId2" Type="http://schemas.openxmlformats.org/officeDocument/2006/relationships/customXml" Target="../customXml/item2.xml"/><Relationship Id="rId16" Type="http://schemas.openxmlformats.org/officeDocument/2006/relationships/hyperlink" Target="https://www.legislation.gov.uk/asp/2014/8/contents/enacted" TargetMode="External"/><Relationship Id="rId20" Type="http://schemas.openxmlformats.org/officeDocument/2006/relationships/hyperlink" Target="https://www.gov.scot/publications/guidance-part-11-continuing-care-children-young-people-scotland-act/pages/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ihub.scot/media/1512/a-guide-to-getting-it-right-for-every-child.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scot/publications/housing-options-protocol-care-leavers-guidance-corporate-parents-improving-housing/pages/0/" TargetMode="External"/><Relationship Id="rId23" Type="http://schemas.openxmlformats.org/officeDocument/2006/relationships/hyperlink" Target="https://www2.gov.scot/resource/doc/238985/0065813.pdf" TargetMode="External"/><Relationship Id="rId28" Type="http://schemas.openxmlformats.org/officeDocument/2006/relationships/hyperlink" Target="https://www.legislation.gov.uk/asp/2024/1/contents" TargetMode="External"/><Relationship Id="rId10" Type="http://schemas.openxmlformats.org/officeDocument/2006/relationships/endnotes" Target="endnotes.xml"/><Relationship Id="rId19" Type="http://schemas.openxmlformats.org/officeDocument/2006/relationships/hyperlink" Target="https://www.legislation.gov.uk/ssi/2015/62/contents/ma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ssi/2015/156/introduction/made" TargetMode="External"/><Relationship Id="rId22" Type="http://schemas.openxmlformats.org/officeDocument/2006/relationships/hyperlink" Target="https://www2.gov.scot/Resource/Doc/236882/0064989.pdf" TargetMode="External"/><Relationship Id="rId27" Type="http://schemas.openxmlformats.org/officeDocument/2006/relationships/hyperlink" Target="https://thepromise.scot/"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Props1.xml><?xml version="1.0" encoding="utf-8"?>
<ds:datastoreItem xmlns:ds="http://schemas.openxmlformats.org/officeDocument/2006/customXml" ds:itemID="{F65B0269-A1D6-475A-82D8-B4B9E92B0212}">
  <ds:schemaRefs>
    <ds:schemaRef ds:uri="http://schemas.microsoft.com/sharepoint/v3/contenttype/forms"/>
  </ds:schemaRefs>
</ds:datastoreItem>
</file>

<file path=customXml/itemProps2.xml><?xml version="1.0" encoding="utf-8"?>
<ds:datastoreItem xmlns:ds="http://schemas.openxmlformats.org/officeDocument/2006/customXml" ds:itemID="{F81D41C1-47D3-458E-9AE0-1B0A19FC1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59143-3474-4808-8E36-85D7C21DCC14}">
  <ds:schemaRefs>
    <ds:schemaRef ds:uri="http://schemas.openxmlformats.org/officeDocument/2006/bibliography"/>
  </ds:schemaRefs>
</ds:datastoreItem>
</file>

<file path=customXml/itemProps4.xml><?xml version="1.0" encoding="utf-8"?>
<ds:datastoreItem xmlns:ds="http://schemas.openxmlformats.org/officeDocument/2006/customXml" ds:itemID="{21F1BE6F-17E6-486A-81A5-FB8A103AEDFB}">
  <ds:schemaRefs>
    <ds:schemaRef ds:uri="http://schemas.microsoft.com/office/2006/metadata/properties"/>
    <ds:schemaRef ds:uri="http://schemas.microsoft.com/office/infopath/2007/PartnerControls"/>
    <ds:schemaRef ds:uri="72740b9f-ec23-43b7-afa5-da355c4e0c78"/>
    <ds:schemaRef ds:uri="3f4e8fc0-a4c0-4b16-a5ba-ea73a8516ace"/>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0</TotalTime>
  <Pages>23</Pages>
  <Words>6843</Words>
  <Characters>37845</Characters>
  <Application>Microsoft Office Word</Application>
  <DocSecurity>0</DocSecurity>
  <Lines>1455</Lines>
  <Paragraphs>475</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44213</CharactersWithSpaces>
  <SharedDoc>false</SharedDoc>
  <HLinks>
    <vt:vector size="180" baseType="variant">
      <vt:variant>
        <vt:i4>2097248</vt:i4>
      </vt:variant>
      <vt:variant>
        <vt:i4>123</vt:i4>
      </vt:variant>
      <vt:variant>
        <vt:i4>0</vt:i4>
      </vt:variant>
      <vt:variant>
        <vt:i4>5</vt:i4>
      </vt:variant>
      <vt:variant>
        <vt:lpwstr>https://www.legislation.gov.uk/asp/2024/1/contents</vt:lpwstr>
      </vt:variant>
      <vt:variant>
        <vt:lpwstr/>
      </vt:variant>
      <vt:variant>
        <vt:i4>5832708</vt:i4>
      </vt:variant>
      <vt:variant>
        <vt:i4>120</vt:i4>
      </vt:variant>
      <vt:variant>
        <vt:i4>0</vt:i4>
      </vt:variant>
      <vt:variant>
        <vt:i4>5</vt:i4>
      </vt:variant>
      <vt:variant>
        <vt:lpwstr>https://thepromise.scot/</vt:lpwstr>
      </vt:variant>
      <vt:variant>
        <vt:lpwstr/>
      </vt:variant>
      <vt:variant>
        <vt:i4>327745</vt:i4>
      </vt:variant>
      <vt:variant>
        <vt:i4>117</vt:i4>
      </vt:variant>
      <vt:variant>
        <vt:i4>0</vt:i4>
      </vt:variant>
      <vt:variant>
        <vt:i4>5</vt:i4>
      </vt:variant>
      <vt:variant>
        <vt:lpwstr>https://www.carereview.scot/conclusions/independent-care-review-reports/</vt:lpwstr>
      </vt:variant>
      <vt:variant>
        <vt:lpwstr/>
      </vt:variant>
      <vt:variant>
        <vt:i4>1048604</vt:i4>
      </vt:variant>
      <vt:variant>
        <vt:i4>114</vt:i4>
      </vt:variant>
      <vt:variant>
        <vt:i4>0</vt:i4>
      </vt:variant>
      <vt:variant>
        <vt:i4>5</vt:i4>
      </vt:variant>
      <vt:variant>
        <vt:lpwstr>https://cpag.org.uk/sites/default/files/files/resource/CPAG-scot-care-leaver-Factsheet-June-2020.pdf</vt:lpwstr>
      </vt:variant>
      <vt:variant>
        <vt:lpwstr/>
      </vt:variant>
      <vt:variant>
        <vt:i4>6094918</vt:i4>
      </vt:variant>
      <vt:variant>
        <vt:i4>111</vt:i4>
      </vt:variant>
      <vt:variant>
        <vt:i4>0</vt:i4>
      </vt:variant>
      <vt:variant>
        <vt:i4>5</vt:i4>
      </vt:variant>
      <vt:variant>
        <vt:lpwstr>https://www.scottishcareleaverscovenant.org/</vt:lpwstr>
      </vt:variant>
      <vt:variant>
        <vt:lpwstr/>
      </vt:variant>
      <vt:variant>
        <vt:i4>7667804</vt:i4>
      </vt:variant>
      <vt:variant>
        <vt:i4>108</vt:i4>
      </vt:variant>
      <vt:variant>
        <vt:i4>0</vt:i4>
      </vt:variant>
      <vt:variant>
        <vt:i4>5</vt:i4>
      </vt:variant>
      <vt:variant>
        <vt:lpwstr>https://www.orkney.gov.uk/Files/Education-and-Learning/Orkney_GIR_Guidance_2012.pdf</vt:lpwstr>
      </vt:variant>
      <vt:variant>
        <vt:lpwstr/>
      </vt:variant>
      <vt:variant>
        <vt:i4>851980</vt:i4>
      </vt:variant>
      <vt:variant>
        <vt:i4>105</vt:i4>
      </vt:variant>
      <vt:variant>
        <vt:i4>0</vt:i4>
      </vt:variant>
      <vt:variant>
        <vt:i4>5</vt:i4>
      </vt:variant>
      <vt:variant>
        <vt:lpwstr>https://ihub.scot/media/1512/a-guide-to-getting-it-right-for-every-child.pdf</vt:lpwstr>
      </vt:variant>
      <vt:variant>
        <vt:lpwstr/>
      </vt:variant>
      <vt:variant>
        <vt:i4>983042</vt:i4>
      </vt:variant>
      <vt:variant>
        <vt:i4>102</vt:i4>
      </vt:variant>
      <vt:variant>
        <vt:i4>0</vt:i4>
      </vt:variant>
      <vt:variant>
        <vt:i4>5</vt:i4>
      </vt:variant>
      <vt:variant>
        <vt:lpwstr>https://www2.gov.scot/resource/doc/238985/0065813.pdf</vt:lpwstr>
      </vt:variant>
      <vt:variant>
        <vt:lpwstr/>
      </vt:variant>
      <vt:variant>
        <vt:i4>589839</vt:i4>
      </vt:variant>
      <vt:variant>
        <vt:i4>99</vt:i4>
      </vt:variant>
      <vt:variant>
        <vt:i4>0</vt:i4>
      </vt:variant>
      <vt:variant>
        <vt:i4>5</vt:i4>
      </vt:variant>
      <vt:variant>
        <vt:lpwstr>https://www2.gov.scot/Resource/Doc/236882/0064989.pdf</vt:lpwstr>
      </vt:variant>
      <vt:variant>
        <vt:lpwstr/>
      </vt:variant>
      <vt:variant>
        <vt:i4>4784206</vt:i4>
      </vt:variant>
      <vt:variant>
        <vt:i4>96</vt:i4>
      </vt:variant>
      <vt:variant>
        <vt:i4>0</vt:i4>
      </vt:variant>
      <vt:variant>
        <vt:i4>5</vt:i4>
      </vt:variant>
      <vt:variant>
        <vt:lpwstr>https://www.gov.scot/publications/guidance-part-10-aftercare-children-young-people-scotland-act-2014/</vt:lpwstr>
      </vt:variant>
      <vt:variant>
        <vt:lpwstr/>
      </vt:variant>
      <vt:variant>
        <vt:i4>8323177</vt:i4>
      </vt:variant>
      <vt:variant>
        <vt:i4>93</vt:i4>
      </vt:variant>
      <vt:variant>
        <vt:i4>0</vt:i4>
      </vt:variant>
      <vt:variant>
        <vt:i4>5</vt:i4>
      </vt:variant>
      <vt:variant>
        <vt:lpwstr>https://www.gov.scot/publications/guidance-part-11-continuing-care-children-young-people-scotland-act/pages/8/</vt:lpwstr>
      </vt:variant>
      <vt:variant>
        <vt:lpwstr/>
      </vt:variant>
      <vt:variant>
        <vt:i4>262234</vt:i4>
      </vt:variant>
      <vt:variant>
        <vt:i4>90</vt:i4>
      </vt:variant>
      <vt:variant>
        <vt:i4>0</vt:i4>
      </vt:variant>
      <vt:variant>
        <vt:i4>5</vt:i4>
      </vt:variant>
      <vt:variant>
        <vt:lpwstr>https://www.legislation.gov.uk/ssi/2015/62/contents/made</vt:lpwstr>
      </vt:variant>
      <vt:variant>
        <vt:lpwstr/>
      </vt:variant>
      <vt:variant>
        <vt:i4>6160387</vt:i4>
      </vt:variant>
      <vt:variant>
        <vt:i4>87</vt:i4>
      </vt:variant>
      <vt:variant>
        <vt:i4>0</vt:i4>
      </vt:variant>
      <vt:variant>
        <vt:i4>5</vt:i4>
      </vt:variant>
      <vt:variant>
        <vt:lpwstr>https://www.gov.scot/publications/staying-put-scotland-providing-care-leavers-connectness-belonging/</vt:lpwstr>
      </vt:variant>
      <vt:variant>
        <vt:lpwstr/>
      </vt:variant>
      <vt:variant>
        <vt:i4>6553645</vt:i4>
      </vt:variant>
      <vt:variant>
        <vt:i4>84</vt:i4>
      </vt:variant>
      <vt:variant>
        <vt:i4>0</vt:i4>
      </vt:variant>
      <vt:variant>
        <vt:i4>5</vt:i4>
      </vt:variant>
      <vt:variant>
        <vt:lpwstr>https://www.gov.scot/publications/bairns-guide-community-planning-partnerships-being-good-corporate-parent/</vt:lpwstr>
      </vt:variant>
      <vt:variant>
        <vt:lpwstr/>
      </vt:variant>
      <vt:variant>
        <vt:i4>3604526</vt:i4>
      </vt:variant>
      <vt:variant>
        <vt:i4>81</vt:i4>
      </vt:variant>
      <vt:variant>
        <vt:i4>0</vt:i4>
      </vt:variant>
      <vt:variant>
        <vt:i4>5</vt:i4>
      </vt:variant>
      <vt:variant>
        <vt:lpwstr>https://www.legislation.gov.uk/asp/2014/8/contents/enacted</vt:lpwstr>
      </vt:variant>
      <vt:variant>
        <vt:lpwstr/>
      </vt:variant>
      <vt:variant>
        <vt:i4>1048669</vt:i4>
      </vt:variant>
      <vt:variant>
        <vt:i4>78</vt:i4>
      </vt:variant>
      <vt:variant>
        <vt:i4>0</vt:i4>
      </vt:variant>
      <vt:variant>
        <vt:i4>5</vt:i4>
      </vt:variant>
      <vt:variant>
        <vt:lpwstr>https://www.gov.scot/publications/housing-options-protocol-care-leavers-guidance-corporate-parents-improving-housing/pages/0/</vt:lpwstr>
      </vt:variant>
      <vt:variant>
        <vt:lpwstr/>
      </vt:variant>
      <vt:variant>
        <vt:i4>917529</vt:i4>
      </vt:variant>
      <vt:variant>
        <vt:i4>75</vt:i4>
      </vt:variant>
      <vt:variant>
        <vt:i4>0</vt:i4>
      </vt:variant>
      <vt:variant>
        <vt:i4>5</vt:i4>
      </vt:variant>
      <vt:variant>
        <vt:lpwstr>https://www.legislation.gov.uk/ssi/2015/156/introduction/made</vt:lpwstr>
      </vt:variant>
      <vt:variant>
        <vt:lpwstr/>
      </vt:variant>
      <vt:variant>
        <vt:i4>2490477</vt:i4>
      </vt:variant>
      <vt:variant>
        <vt:i4>72</vt:i4>
      </vt:variant>
      <vt:variant>
        <vt:i4>0</vt:i4>
      </vt:variant>
      <vt:variant>
        <vt:i4>5</vt:i4>
      </vt:variant>
      <vt:variant>
        <vt:lpwstr>https://emea01.safelinks.protection.outlook.com/?url=http%3A%2F%2Fwww.legislation.gov.uk%2Fssi%2F2015%2F62%2Fintroduction%2Fmade&amp;data=02%7C01%7CNatalie.Avery%40gov.wales%7Cffde0da48c4749822b8908d6303281a7%7Ca2cc36c592804ae78887d06dab89216b%7C0%7C0%7C636749390813568949&amp;sdata=GiW2kglGC%2BY5n0q%2FkKgBOcG6U2W5%2F9kT1%2BVcYqUrnWE%3D&amp;reserved=0</vt:lpwstr>
      </vt:variant>
      <vt:variant>
        <vt:lpwstr/>
      </vt:variant>
      <vt:variant>
        <vt:i4>4718594</vt:i4>
      </vt:variant>
      <vt:variant>
        <vt:i4>69</vt:i4>
      </vt:variant>
      <vt:variant>
        <vt:i4>0</vt:i4>
      </vt:variant>
      <vt:variant>
        <vt:i4>5</vt:i4>
      </vt:variant>
      <vt:variant>
        <vt:lpwstr>https://www.gov.scot/publications/supporting-young-people-leaving-care-scotland-regulations-guidance-services-young/</vt:lpwstr>
      </vt:variant>
      <vt:variant>
        <vt:lpwstr/>
      </vt:variant>
      <vt:variant>
        <vt:i4>1441853</vt:i4>
      </vt:variant>
      <vt:variant>
        <vt:i4>62</vt:i4>
      </vt:variant>
      <vt:variant>
        <vt:i4>0</vt:i4>
      </vt:variant>
      <vt:variant>
        <vt:i4>5</vt:i4>
      </vt:variant>
      <vt:variant>
        <vt:lpwstr/>
      </vt:variant>
      <vt:variant>
        <vt:lpwstr>_Toc207005840</vt:lpwstr>
      </vt:variant>
      <vt:variant>
        <vt:i4>1114173</vt:i4>
      </vt:variant>
      <vt:variant>
        <vt:i4>56</vt:i4>
      </vt:variant>
      <vt:variant>
        <vt:i4>0</vt:i4>
      </vt:variant>
      <vt:variant>
        <vt:i4>5</vt:i4>
      </vt:variant>
      <vt:variant>
        <vt:lpwstr/>
      </vt:variant>
      <vt:variant>
        <vt:lpwstr>_Toc207005839</vt:lpwstr>
      </vt:variant>
      <vt:variant>
        <vt:i4>1114173</vt:i4>
      </vt:variant>
      <vt:variant>
        <vt:i4>50</vt:i4>
      </vt:variant>
      <vt:variant>
        <vt:i4>0</vt:i4>
      </vt:variant>
      <vt:variant>
        <vt:i4>5</vt:i4>
      </vt:variant>
      <vt:variant>
        <vt:lpwstr/>
      </vt:variant>
      <vt:variant>
        <vt:lpwstr>_Toc207005838</vt:lpwstr>
      </vt:variant>
      <vt:variant>
        <vt:i4>1114173</vt:i4>
      </vt:variant>
      <vt:variant>
        <vt:i4>44</vt:i4>
      </vt:variant>
      <vt:variant>
        <vt:i4>0</vt:i4>
      </vt:variant>
      <vt:variant>
        <vt:i4>5</vt:i4>
      </vt:variant>
      <vt:variant>
        <vt:lpwstr/>
      </vt:variant>
      <vt:variant>
        <vt:lpwstr>_Toc207005837</vt:lpwstr>
      </vt:variant>
      <vt:variant>
        <vt:i4>1114173</vt:i4>
      </vt:variant>
      <vt:variant>
        <vt:i4>38</vt:i4>
      </vt:variant>
      <vt:variant>
        <vt:i4>0</vt:i4>
      </vt:variant>
      <vt:variant>
        <vt:i4>5</vt:i4>
      </vt:variant>
      <vt:variant>
        <vt:lpwstr/>
      </vt:variant>
      <vt:variant>
        <vt:lpwstr>_Toc207005836</vt:lpwstr>
      </vt:variant>
      <vt:variant>
        <vt:i4>1114173</vt:i4>
      </vt:variant>
      <vt:variant>
        <vt:i4>32</vt:i4>
      </vt:variant>
      <vt:variant>
        <vt:i4>0</vt:i4>
      </vt:variant>
      <vt:variant>
        <vt:i4>5</vt:i4>
      </vt:variant>
      <vt:variant>
        <vt:lpwstr/>
      </vt:variant>
      <vt:variant>
        <vt:lpwstr>_Toc207005835</vt:lpwstr>
      </vt:variant>
      <vt:variant>
        <vt:i4>1114173</vt:i4>
      </vt:variant>
      <vt:variant>
        <vt:i4>26</vt:i4>
      </vt:variant>
      <vt:variant>
        <vt:i4>0</vt:i4>
      </vt:variant>
      <vt:variant>
        <vt:i4>5</vt:i4>
      </vt:variant>
      <vt:variant>
        <vt:lpwstr/>
      </vt:variant>
      <vt:variant>
        <vt:lpwstr>_Toc207005834</vt:lpwstr>
      </vt:variant>
      <vt:variant>
        <vt:i4>1114173</vt:i4>
      </vt:variant>
      <vt:variant>
        <vt:i4>20</vt:i4>
      </vt:variant>
      <vt:variant>
        <vt:i4>0</vt:i4>
      </vt:variant>
      <vt:variant>
        <vt:i4>5</vt:i4>
      </vt:variant>
      <vt:variant>
        <vt:lpwstr/>
      </vt:variant>
      <vt:variant>
        <vt:lpwstr>_Toc207005833</vt:lpwstr>
      </vt:variant>
      <vt:variant>
        <vt:i4>1114173</vt:i4>
      </vt:variant>
      <vt:variant>
        <vt:i4>14</vt:i4>
      </vt:variant>
      <vt:variant>
        <vt:i4>0</vt:i4>
      </vt:variant>
      <vt:variant>
        <vt:i4>5</vt:i4>
      </vt:variant>
      <vt:variant>
        <vt:lpwstr/>
      </vt:variant>
      <vt:variant>
        <vt:lpwstr>_Toc207005832</vt:lpwstr>
      </vt:variant>
      <vt:variant>
        <vt:i4>1114173</vt:i4>
      </vt:variant>
      <vt:variant>
        <vt:i4>8</vt:i4>
      </vt:variant>
      <vt:variant>
        <vt:i4>0</vt:i4>
      </vt:variant>
      <vt:variant>
        <vt:i4>5</vt:i4>
      </vt:variant>
      <vt:variant>
        <vt:lpwstr/>
      </vt:variant>
      <vt:variant>
        <vt:lpwstr>_Toc207005831</vt:lpwstr>
      </vt:variant>
      <vt:variant>
        <vt:i4>1114173</vt:i4>
      </vt:variant>
      <vt:variant>
        <vt:i4>2</vt:i4>
      </vt:variant>
      <vt:variant>
        <vt:i4>0</vt:i4>
      </vt:variant>
      <vt:variant>
        <vt:i4>5</vt:i4>
      </vt:variant>
      <vt:variant>
        <vt:lpwstr/>
      </vt:variant>
      <vt:variant>
        <vt:lpwstr>_Toc207005830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Orkney Islands Council</dc:creator>
  <cp:keywords/>
  <cp:lastModifiedBy>Stephanie Johnston</cp:lastModifiedBy>
  <cp:revision>4</cp:revision>
  <cp:lastPrinted>2025-09-15T12:55:00Z</cp:lastPrinted>
  <dcterms:created xsi:type="dcterms:W3CDTF">2025-09-15T15:28:00Z</dcterms:created>
  <dcterms:modified xsi:type="dcterms:W3CDTF">2026-02-20T11:26:00Z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Stephanie.Johnston@orkney.gov.uk</vt:lpwstr>
  </property>
  <property fmtid="{D5CDD505-2E9C-101B-9397-08002B2CF9AE}" pid="5" name="MSIP_Label_f4609442-21db-49ae-b760-8d094b29b854_SetDate">
    <vt:lpwstr>2020-10-22T13:14:30.8202534Z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ActionId">
    <vt:lpwstr>3c7ff18c-f915-4890-894d-5fac110466bc</vt:lpwstr>
  </property>
  <property fmtid="{D5CDD505-2E9C-101B-9397-08002B2CF9AE}" pid="9" name="MSIP_Label_f4609442-21db-49ae-b760-8d094b29b854_Extended_MSFT_Method">
    <vt:lpwstr>Manual</vt:lpwstr>
  </property>
  <property fmtid="{D5CDD505-2E9C-101B-9397-08002B2CF9AE}" pid="10" name="Sensitivity">
    <vt:lpwstr>Official</vt:lpwstr>
  </property>
  <property fmtid="{D5CDD505-2E9C-101B-9397-08002B2CF9AE}" pid="11" name="ContentTypeId">
    <vt:lpwstr>0x01010023687F192AD6F94FB8C3AFCCD454D52D</vt:lpwstr>
  </property>
  <property fmtid="{D5CDD505-2E9C-101B-9397-08002B2CF9AE}" pid="12" name="MediaServiceImageTags">
    <vt:lpwstr/>
  </property>
</Properties>
</file>